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60202A" w:rsidRDefault="000F2716" w:rsidP="000F2716">
      <w:pPr>
        <w:autoSpaceDE w:val="0"/>
        <w:jc w:val="center"/>
        <w:rPr>
          <w:b/>
          <w:i/>
          <w:sz w:val="16"/>
          <w:szCs w:val="16"/>
          <w:lang w:val="ru-RU"/>
        </w:rPr>
      </w:pPr>
      <w:bookmarkStart w:id="0" w:name="_GoBack"/>
      <w:bookmarkEnd w:id="0"/>
    </w:p>
    <w:p w:rsidR="000F2716" w:rsidRPr="00F575A5" w:rsidRDefault="00F575A5" w:rsidP="000F2716">
      <w:pPr>
        <w:autoSpaceDE w:val="0"/>
        <w:jc w:val="right"/>
        <w:rPr>
          <w:b/>
          <w:bCs/>
          <w:color w:val="808080" w:themeColor="background1" w:themeShade="80"/>
          <w:lang w:val="ru-RU"/>
        </w:rPr>
      </w:pPr>
      <w:r w:rsidRPr="00F575A5">
        <w:rPr>
          <w:b/>
          <w:bCs/>
          <w:color w:val="808080" w:themeColor="background1" w:themeShade="80"/>
          <w:lang w:val="ru-RU"/>
        </w:rPr>
        <w:t>ПРИЛОЖЕНИЕ 4</w:t>
      </w:r>
    </w:p>
    <w:p w:rsidR="000F2716" w:rsidRDefault="000F2716" w:rsidP="000F2716">
      <w:pPr>
        <w:ind w:firstLine="5670"/>
        <w:rPr>
          <w:b/>
          <w:sz w:val="28"/>
          <w:szCs w:val="28"/>
          <w:lang w:val="ru-RU"/>
        </w:rPr>
      </w:pPr>
    </w:p>
    <w:p w:rsidR="00A26437" w:rsidRDefault="00A26437" w:rsidP="000F2716">
      <w:pPr>
        <w:ind w:firstLine="5670"/>
        <w:rPr>
          <w:b/>
          <w:sz w:val="28"/>
          <w:szCs w:val="28"/>
          <w:lang w:val="ru-RU"/>
        </w:rPr>
      </w:pPr>
    </w:p>
    <w:p w:rsidR="00A26437" w:rsidRDefault="00A26437" w:rsidP="000F2716">
      <w:pPr>
        <w:ind w:firstLine="5670"/>
        <w:rPr>
          <w:b/>
          <w:sz w:val="28"/>
          <w:szCs w:val="28"/>
          <w:lang w:val="ru-RU"/>
        </w:rPr>
      </w:pPr>
    </w:p>
    <w:p w:rsidR="00A26437" w:rsidRPr="00A26437" w:rsidRDefault="00A26437" w:rsidP="00A26437">
      <w:pPr>
        <w:widowControl w:val="0"/>
        <w:autoSpaceDE w:val="0"/>
        <w:autoSpaceDN w:val="0"/>
        <w:adjustRightInd w:val="0"/>
        <w:spacing w:before="60"/>
        <w:ind w:firstLine="567"/>
        <w:jc w:val="center"/>
        <w:rPr>
          <w:b/>
          <w:caps/>
          <w:color w:val="000000"/>
          <w:sz w:val="36"/>
          <w:szCs w:val="36"/>
          <w:u w:val="single"/>
          <w:lang w:val="bg-BG" w:eastAsia="ko-KR"/>
        </w:rPr>
      </w:pPr>
      <w:r w:rsidRPr="00A26437">
        <w:rPr>
          <w:b/>
          <w:caps/>
          <w:color w:val="000000"/>
          <w:sz w:val="36"/>
          <w:szCs w:val="36"/>
          <w:u w:val="single"/>
          <w:lang w:val="bg-BG" w:eastAsia="ko-KR"/>
        </w:rPr>
        <w:t>Методика за определяне н</w:t>
      </w:r>
      <w:r>
        <w:rPr>
          <w:b/>
          <w:caps/>
          <w:color w:val="000000"/>
          <w:sz w:val="36"/>
          <w:szCs w:val="36"/>
          <w:u w:val="single"/>
          <w:lang w:val="bg-BG" w:eastAsia="ko-KR"/>
        </w:rPr>
        <w:t>а комплексна оценка на офертите</w:t>
      </w:r>
    </w:p>
    <w:p w:rsidR="00A26437" w:rsidRPr="000F2716" w:rsidRDefault="00A26437" w:rsidP="000F2716">
      <w:pPr>
        <w:ind w:firstLine="5670"/>
        <w:rPr>
          <w:b/>
          <w:sz w:val="28"/>
          <w:szCs w:val="28"/>
          <w:lang w:val="ru-RU"/>
        </w:rPr>
      </w:pPr>
    </w:p>
    <w:p w:rsidR="000F2716" w:rsidRPr="00A26437" w:rsidRDefault="00762642" w:rsidP="00A26437">
      <w:pPr>
        <w:pStyle w:val="affa"/>
        <w:ind w:left="-284" w:right="-144"/>
        <w:outlineLvl w:val="0"/>
        <w:rPr>
          <w:sz w:val="24"/>
          <w:szCs w:val="24"/>
          <w:lang w:val="ru-RU"/>
        </w:rPr>
      </w:pPr>
      <w:r w:rsidRPr="00A26437">
        <w:rPr>
          <w:rFonts w:eastAsia="Batang"/>
          <w:color w:val="000000"/>
          <w:sz w:val="24"/>
          <w:szCs w:val="24"/>
          <w:lang w:val="bg-BG" w:eastAsia="ko-KR"/>
        </w:rPr>
        <w:t xml:space="preserve"> </w:t>
      </w:r>
      <w:r w:rsidR="00A26437" w:rsidRPr="00A26437">
        <w:rPr>
          <w:rFonts w:eastAsia="Batang"/>
          <w:color w:val="000000"/>
          <w:sz w:val="24"/>
          <w:szCs w:val="24"/>
          <w:lang w:val="bg-BG" w:eastAsia="ko-KR"/>
        </w:rPr>
        <w:t xml:space="preserve">„Изготвяне на  работни проекти </w:t>
      </w:r>
      <w:r w:rsidR="00A26437" w:rsidRPr="00A26437">
        <w:rPr>
          <w:rFonts w:eastAsia="Batang"/>
          <w:color w:val="000000"/>
          <w:sz w:val="24"/>
          <w:szCs w:val="24"/>
          <w:lang w:val="bg-BG" w:eastAsia="ko-KR"/>
        </w:rPr>
        <w:br/>
        <w:t xml:space="preserve">по реда на ЗУТ и Наредба №4 за обхвата и съдържанието на инвестиционни проекти,  </w:t>
      </w:r>
      <w:r w:rsidR="00A26437" w:rsidRPr="00A26437">
        <w:rPr>
          <w:rFonts w:eastAsia="Batang"/>
          <w:color w:val="000000"/>
          <w:sz w:val="24"/>
          <w:szCs w:val="24"/>
          <w:lang w:val="bg-BG" w:eastAsia="ko-KR"/>
        </w:rPr>
        <w:br/>
        <w:t>съгласно проект „В подкрепа на Перник за следващия програмен период”</w:t>
      </w:r>
      <w:r w:rsidR="00A26437">
        <w:rPr>
          <w:rFonts w:eastAsia="Batang"/>
          <w:color w:val="000000"/>
          <w:sz w:val="24"/>
          <w:szCs w:val="24"/>
          <w:lang w:val="bg-BG" w:eastAsia="ko-KR"/>
        </w:rPr>
        <w:br/>
      </w:r>
      <w:r w:rsidR="00A26437" w:rsidRPr="00A26437">
        <w:rPr>
          <w:rFonts w:eastAsia="Batang"/>
          <w:color w:val="000000"/>
          <w:sz w:val="24"/>
          <w:szCs w:val="24"/>
          <w:lang w:val="bg-BG" w:eastAsia="ko-KR"/>
        </w:rPr>
        <w:t xml:space="preserve"> Договор за предоставяне на безвъзмездна финансова помощ </w:t>
      </w:r>
      <w:r w:rsidR="00A26437" w:rsidRPr="00A26437">
        <w:rPr>
          <w:rFonts w:eastAsia="Batang"/>
          <w:color w:val="000000"/>
          <w:sz w:val="24"/>
          <w:szCs w:val="24"/>
          <w:lang w:val="bg-BG" w:eastAsia="ko-KR"/>
        </w:rPr>
        <w:br/>
        <w:t>№BG 161PO001/5-02/2012/021</w:t>
      </w:r>
      <w:r w:rsidR="000F2716" w:rsidRPr="00A26437">
        <w:rPr>
          <w:sz w:val="24"/>
          <w:szCs w:val="24"/>
          <w:lang w:val="ru-RU"/>
        </w:rPr>
        <w:t>“</w:t>
      </w:r>
    </w:p>
    <w:p w:rsidR="000F2716" w:rsidRPr="00A26437" w:rsidRDefault="000F2716" w:rsidP="000F2716">
      <w:pPr>
        <w:pStyle w:val="affa"/>
        <w:ind w:left="-284" w:right="-144"/>
        <w:outlineLvl w:val="0"/>
        <w:rPr>
          <w:sz w:val="24"/>
          <w:szCs w:val="24"/>
          <w:lang w:val="ru-RU"/>
        </w:rPr>
      </w:pPr>
      <w:r w:rsidRPr="00A26437">
        <w:rPr>
          <w:sz w:val="24"/>
          <w:szCs w:val="24"/>
          <w:lang w:val="ru-RU"/>
        </w:rPr>
        <w:t>по обособени позиции</w:t>
      </w:r>
    </w:p>
    <w:p w:rsidR="007271B3" w:rsidRDefault="007271B3" w:rsidP="007271B3">
      <w:pPr>
        <w:pStyle w:val="affa"/>
        <w:spacing w:before="120"/>
        <w:ind w:left="1207" w:hanging="1207"/>
        <w:jc w:val="both"/>
        <w:outlineLvl w:val="0"/>
        <w:rPr>
          <w:b w:val="0"/>
          <w:i/>
          <w:color w:val="000000"/>
          <w:sz w:val="24"/>
          <w:szCs w:val="24"/>
          <w:lang w:val="bg-BG" w:eastAsia="bg-BG"/>
        </w:rPr>
      </w:pPr>
    </w:p>
    <w:p w:rsidR="00A26437" w:rsidRDefault="00A26437" w:rsidP="007271B3">
      <w:pPr>
        <w:pStyle w:val="affa"/>
        <w:spacing w:before="120"/>
        <w:ind w:left="1207" w:hanging="1207"/>
        <w:jc w:val="both"/>
        <w:outlineLvl w:val="0"/>
        <w:rPr>
          <w:b w:val="0"/>
          <w:i/>
          <w:color w:val="000000"/>
          <w:sz w:val="24"/>
          <w:szCs w:val="24"/>
          <w:lang w:val="bg-BG" w:eastAsia="bg-BG"/>
        </w:rPr>
      </w:pPr>
    </w:p>
    <w:p w:rsidR="00F575A5" w:rsidRDefault="00F575A5" w:rsidP="007271B3">
      <w:pPr>
        <w:pStyle w:val="affa"/>
        <w:spacing w:before="120"/>
        <w:ind w:left="1207" w:hanging="1207"/>
        <w:jc w:val="both"/>
        <w:outlineLvl w:val="0"/>
        <w:rPr>
          <w:b w:val="0"/>
          <w:i/>
          <w:color w:val="000000"/>
          <w:sz w:val="24"/>
          <w:szCs w:val="24"/>
          <w:lang w:val="bg-BG" w:eastAsia="bg-BG"/>
        </w:rPr>
      </w:pPr>
    </w:p>
    <w:p w:rsidR="00F575A5" w:rsidRDefault="00F575A5" w:rsidP="007271B3">
      <w:pPr>
        <w:pStyle w:val="affa"/>
        <w:spacing w:before="120"/>
        <w:ind w:left="1207" w:hanging="1207"/>
        <w:jc w:val="both"/>
        <w:outlineLvl w:val="0"/>
        <w:rPr>
          <w:b w:val="0"/>
          <w:i/>
          <w:color w:val="000000"/>
          <w:sz w:val="24"/>
          <w:szCs w:val="24"/>
          <w:lang w:val="bg-BG" w:eastAsia="bg-BG"/>
        </w:rPr>
      </w:pPr>
    </w:p>
    <w:p w:rsidR="00F575A5" w:rsidRDefault="00F575A5" w:rsidP="007271B3">
      <w:pPr>
        <w:pStyle w:val="affa"/>
        <w:spacing w:before="120"/>
        <w:ind w:left="1207" w:hanging="1207"/>
        <w:jc w:val="both"/>
        <w:outlineLvl w:val="0"/>
        <w:rPr>
          <w:b w:val="0"/>
          <w:i/>
          <w:color w:val="000000"/>
          <w:sz w:val="24"/>
          <w:szCs w:val="24"/>
          <w:lang w:val="bg-BG" w:eastAsia="bg-BG"/>
        </w:rPr>
      </w:pPr>
    </w:p>
    <w:p w:rsidR="00A26437" w:rsidRPr="007271B3" w:rsidRDefault="00A26437" w:rsidP="007271B3">
      <w:pPr>
        <w:pStyle w:val="affa"/>
        <w:spacing w:before="120"/>
        <w:ind w:left="1207" w:hanging="1207"/>
        <w:jc w:val="both"/>
        <w:outlineLvl w:val="0"/>
        <w:rPr>
          <w:b w:val="0"/>
          <w:i/>
          <w:color w:val="000000"/>
          <w:sz w:val="24"/>
          <w:szCs w:val="24"/>
          <w:lang w:val="bg-BG" w:eastAsia="bg-BG"/>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7271B3" w:rsidRPr="00CF4BD6" w:rsidTr="0020075B">
        <w:trPr>
          <w:trHeight w:val="113"/>
          <w:jc w:val="center"/>
        </w:trPr>
        <w:tc>
          <w:tcPr>
            <w:tcW w:w="9356" w:type="dxa"/>
            <w:shd w:val="clear" w:color="auto" w:fill="auto"/>
            <w:hideMark/>
          </w:tcPr>
          <w:p w:rsidR="007271B3" w:rsidRPr="00E90C6E" w:rsidRDefault="007271B3" w:rsidP="00AB6CB0">
            <w:pPr>
              <w:pStyle w:val="affa"/>
              <w:spacing w:before="120"/>
              <w:ind w:left="1207" w:hanging="1207"/>
              <w:jc w:val="both"/>
              <w:outlineLvl w:val="0"/>
              <w:rPr>
                <w:i/>
                <w:color w:val="000000"/>
                <w:sz w:val="22"/>
                <w:szCs w:val="22"/>
                <w:lang w:val="bg-BG" w:eastAsia="bg-BG"/>
              </w:rPr>
            </w:pPr>
            <w:r w:rsidRPr="00C349AB">
              <w:rPr>
                <w:i/>
                <w:sz w:val="24"/>
                <w:szCs w:val="24"/>
                <w:u w:val="single"/>
                <w:lang w:val="ru-RU"/>
              </w:rPr>
              <w:t xml:space="preserve">Обособена позиция </w:t>
            </w:r>
            <w:r w:rsidR="00AB6CB0">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tc>
      </w:tr>
    </w:tbl>
    <w:p w:rsidR="007271B3" w:rsidRPr="00CF4BD6" w:rsidRDefault="007271B3" w:rsidP="007271B3">
      <w:pPr>
        <w:rPr>
          <w:lang w:val="ru-RU"/>
        </w:rPr>
      </w:pPr>
    </w:p>
    <w:p w:rsidR="00A26437" w:rsidRDefault="00A26437" w:rsidP="00841788">
      <w:pPr>
        <w:pStyle w:val="affa"/>
        <w:spacing w:after="120"/>
        <w:outlineLvl w:val="0"/>
        <w:rPr>
          <w:color w:val="000000" w:themeColor="text1"/>
          <w:sz w:val="24"/>
          <w:szCs w:val="24"/>
          <w:shd w:val="clear" w:color="auto" w:fill="EDEDED"/>
          <w:lang w:val="ru-RU"/>
        </w:rPr>
      </w:pPr>
    </w:p>
    <w:p w:rsidR="00A26437" w:rsidRDefault="00A26437" w:rsidP="00841788">
      <w:pPr>
        <w:pStyle w:val="affa"/>
        <w:spacing w:after="120"/>
        <w:outlineLvl w:val="0"/>
        <w:rPr>
          <w:color w:val="000000" w:themeColor="text1"/>
          <w:sz w:val="24"/>
          <w:szCs w:val="24"/>
          <w:shd w:val="clear" w:color="auto" w:fill="EDEDED"/>
          <w:lang w:val="ru-RU"/>
        </w:rPr>
      </w:pPr>
    </w:p>
    <w:p w:rsidR="00A26437" w:rsidRDefault="00A26437" w:rsidP="00841788">
      <w:pPr>
        <w:pStyle w:val="affa"/>
        <w:spacing w:after="120"/>
        <w:outlineLvl w:val="0"/>
        <w:rPr>
          <w:color w:val="000000" w:themeColor="text1"/>
          <w:sz w:val="24"/>
          <w:szCs w:val="24"/>
          <w:shd w:val="clear" w:color="auto" w:fill="EDEDED"/>
          <w:lang w:val="ru-RU"/>
        </w:rPr>
      </w:pPr>
    </w:p>
    <w:p w:rsidR="00F575A5" w:rsidRDefault="00F575A5" w:rsidP="00841788">
      <w:pPr>
        <w:pStyle w:val="affa"/>
        <w:spacing w:after="120"/>
        <w:outlineLvl w:val="0"/>
        <w:rPr>
          <w:color w:val="000000" w:themeColor="text1"/>
          <w:sz w:val="24"/>
          <w:szCs w:val="24"/>
          <w:shd w:val="clear" w:color="auto" w:fill="EDEDED"/>
          <w:lang w:val="ru-RU"/>
        </w:rPr>
      </w:pPr>
    </w:p>
    <w:p w:rsidR="00F575A5" w:rsidRDefault="00F575A5" w:rsidP="00841788">
      <w:pPr>
        <w:pStyle w:val="affa"/>
        <w:spacing w:after="120"/>
        <w:outlineLvl w:val="0"/>
        <w:rPr>
          <w:color w:val="000000" w:themeColor="text1"/>
          <w:sz w:val="24"/>
          <w:szCs w:val="24"/>
          <w:shd w:val="clear" w:color="auto" w:fill="EDEDED"/>
          <w:lang w:val="ru-RU"/>
        </w:rPr>
      </w:pPr>
    </w:p>
    <w:p w:rsidR="00F575A5" w:rsidRDefault="00F575A5" w:rsidP="00841788">
      <w:pPr>
        <w:pStyle w:val="affa"/>
        <w:spacing w:after="120"/>
        <w:outlineLvl w:val="0"/>
        <w:rPr>
          <w:color w:val="000000" w:themeColor="text1"/>
          <w:sz w:val="24"/>
          <w:szCs w:val="24"/>
          <w:shd w:val="clear" w:color="auto" w:fill="EDEDED"/>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F7113A">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F7113A" w:rsidRPr="00B5376B" w:rsidRDefault="00857A85" w:rsidP="00F7113A">
      <w:pPr>
        <w:shd w:val="clear" w:color="auto" w:fill="FFFFFF"/>
        <w:spacing w:before="60"/>
        <w:ind w:left="1416" w:firstLine="708"/>
        <w:rPr>
          <w:rFonts w:eastAsia="Batang"/>
          <w:lang w:val="bg-BG"/>
        </w:rPr>
      </w:pPr>
      <w:r>
        <w:rPr>
          <w:b/>
          <w:lang w:val="ru-RU"/>
        </w:rPr>
        <w:br w:type="page"/>
      </w:r>
    </w:p>
    <w:p w:rsidR="003E0428" w:rsidRPr="003E0428" w:rsidRDefault="003E0428" w:rsidP="003E0428">
      <w:pPr>
        <w:widowControl w:val="0"/>
        <w:autoSpaceDE w:val="0"/>
        <w:autoSpaceDN w:val="0"/>
        <w:adjustRightInd w:val="0"/>
        <w:spacing w:before="60"/>
        <w:ind w:firstLine="567"/>
        <w:jc w:val="center"/>
        <w:rPr>
          <w:b/>
          <w:caps/>
          <w:color w:val="000000"/>
          <w:u w:val="single"/>
          <w:lang w:val="bg-BG" w:eastAsia="ko-KR"/>
        </w:rPr>
      </w:pPr>
      <w:r w:rsidRPr="005B1AED">
        <w:rPr>
          <w:b/>
          <w:caps/>
          <w:color w:val="000000"/>
          <w:u w:val="single"/>
          <w:lang w:val="bg-BG" w:eastAsia="ko-KR"/>
        </w:rPr>
        <w:lastRenderedPageBreak/>
        <w:t>Методика за определяне н</w:t>
      </w:r>
      <w:r w:rsidR="00A26437">
        <w:rPr>
          <w:b/>
          <w:caps/>
          <w:color w:val="000000"/>
          <w:u w:val="single"/>
          <w:lang w:val="bg-BG" w:eastAsia="ko-KR"/>
        </w:rPr>
        <w:t>а комплексна оценка на офертите</w:t>
      </w:r>
    </w:p>
    <w:p w:rsidR="003E0428" w:rsidRPr="003E0428" w:rsidRDefault="003E0428" w:rsidP="003E0428">
      <w:pPr>
        <w:widowControl w:val="0"/>
        <w:shd w:val="clear" w:color="auto" w:fill="FFFFFF"/>
        <w:autoSpaceDE w:val="0"/>
        <w:autoSpaceDN w:val="0"/>
        <w:adjustRightInd w:val="0"/>
        <w:spacing w:before="60"/>
        <w:ind w:firstLine="567"/>
        <w:rPr>
          <w:rFonts w:eastAsia="Batang"/>
          <w:caps/>
          <w:color w:val="000000"/>
          <w:lang w:val="bg-BG" w:eastAsia="ko-KR"/>
        </w:rPr>
      </w:pPr>
    </w:p>
    <w:p w:rsidR="005B1AED" w:rsidRPr="003E0428" w:rsidRDefault="005B1AED" w:rsidP="0021299A">
      <w:pPr>
        <w:pBdr>
          <w:bottom w:val="single" w:sz="6" w:space="1" w:color="auto"/>
        </w:pBdr>
        <w:jc w:val="center"/>
        <w:rPr>
          <w:b/>
          <w:lang w:val="bg-BG"/>
        </w:rPr>
      </w:pPr>
      <w:r w:rsidRPr="003E0428">
        <w:rPr>
          <w:b/>
          <w:lang w:val="bg-BG"/>
        </w:rPr>
        <w:t xml:space="preserve">КРИТЕРИИ И МЕТОДИКА ЗА </w:t>
      </w:r>
      <w:r>
        <w:rPr>
          <w:b/>
          <w:lang w:val="bg-BG"/>
        </w:rPr>
        <w:t>ОБЩА</w:t>
      </w:r>
      <w:r w:rsidRPr="003E0428">
        <w:rPr>
          <w:b/>
          <w:lang w:val="bg-BG"/>
        </w:rPr>
        <w:t xml:space="preserve"> ОЦЕНКА НА ОФЕРТИТЕ</w:t>
      </w:r>
    </w:p>
    <w:p w:rsidR="005B1AED" w:rsidRPr="003E0428" w:rsidRDefault="005B1AED" w:rsidP="00A54533">
      <w:pPr>
        <w:widowControl w:val="0"/>
        <w:autoSpaceDE w:val="0"/>
        <w:autoSpaceDN w:val="0"/>
        <w:adjustRightInd w:val="0"/>
        <w:ind w:right="23" w:firstLine="567"/>
        <w:jc w:val="both"/>
        <w:rPr>
          <w:rFonts w:eastAsia="Batang"/>
          <w:b/>
          <w:lang w:val="ru-RU" w:eastAsia="ko-KR"/>
        </w:rPr>
      </w:pPr>
    </w:p>
    <w:p w:rsidR="005B1AED" w:rsidRPr="003E0428" w:rsidRDefault="005B1AED" w:rsidP="00A54533">
      <w:pPr>
        <w:widowControl w:val="0"/>
        <w:autoSpaceDE w:val="0"/>
        <w:autoSpaceDN w:val="0"/>
        <w:adjustRightInd w:val="0"/>
        <w:spacing w:after="60"/>
        <w:ind w:right="23" w:firstLine="567"/>
        <w:jc w:val="both"/>
        <w:rPr>
          <w:rFonts w:eastAsia="Batang"/>
          <w:b/>
          <w:caps/>
          <w:lang w:val="ru-RU" w:eastAsia="ko-KR"/>
        </w:rPr>
      </w:pPr>
      <w:r w:rsidRPr="003E0428">
        <w:rPr>
          <w:rFonts w:eastAsia="Batang"/>
          <w:b/>
          <w:lang w:val="ru-RU" w:eastAsia="ko-KR"/>
        </w:rPr>
        <w:t xml:space="preserve">Оценяването и класирането на офертите се извършва по критерия </w:t>
      </w:r>
      <w:r w:rsidRPr="003E0428">
        <w:rPr>
          <w:rFonts w:eastAsia="Batang"/>
          <w:b/>
          <w:caps/>
          <w:lang w:val="ru-RU" w:eastAsia="ko-KR"/>
        </w:rPr>
        <w:t>„Икономически най-изгодна оферта”</w:t>
      </w:r>
      <w:r w:rsidRPr="003E0428">
        <w:rPr>
          <w:rFonts w:eastAsia="Batang"/>
          <w:b/>
          <w:lang w:val="ru-RU" w:eastAsia="ko-KR"/>
        </w:rPr>
        <w:t>.</w:t>
      </w:r>
    </w:p>
    <w:p w:rsidR="005B1AED" w:rsidRPr="003E0428" w:rsidRDefault="005B1AED" w:rsidP="00A54533">
      <w:pPr>
        <w:widowControl w:val="0"/>
        <w:autoSpaceDE w:val="0"/>
        <w:autoSpaceDN w:val="0"/>
        <w:adjustRightInd w:val="0"/>
        <w:spacing w:after="60"/>
        <w:ind w:firstLine="567"/>
        <w:jc w:val="both"/>
        <w:rPr>
          <w:rFonts w:eastAsia="Batang"/>
          <w:lang w:val="ru-RU" w:eastAsia="ko-KR"/>
        </w:rPr>
      </w:pPr>
    </w:p>
    <w:p w:rsidR="005B1AED" w:rsidRPr="003E0428" w:rsidRDefault="005B1AED" w:rsidP="00A54533">
      <w:pPr>
        <w:widowControl w:val="0"/>
        <w:autoSpaceDE w:val="0"/>
        <w:autoSpaceDN w:val="0"/>
        <w:adjustRightInd w:val="0"/>
        <w:spacing w:after="60"/>
        <w:ind w:firstLine="567"/>
        <w:jc w:val="both"/>
        <w:rPr>
          <w:rFonts w:eastAsia="Batang"/>
          <w:b/>
          <w:lang w:val="ru-RU" w:eastAsia="ko-KR"/>
        </w:rPr>
      </w:pPr>
      <w:r w:rsidRPr="003E0428">
        <w:rPr>
          <w:rFonts w:eastAsia="Batang"/>
          <w:b/>
          <w:lang w:val="ru-RU" w:eastAsia="ko-KR"/>
        </w:rPr>
        <w:t>Класирането на допуснатите до оценка оферти се извършва на база получената от всяка оферта „</w:t>
      </w:r>
      <w:r>
        <w:rPr>
          <w:rFonts w:eastAsia="Batang"/>
          <w:b/>
          <w:lang w:val="ru-RU" w:eastAsia="ko-KR"/>
        </w:rPr>
        <w:t>Обща оценка</w:t>
      </w:r>
      <w:r w:rsidRPr="003E0428">
        <w:rPr>
          <w:rFonts w:eastAsia="Batang"/>
          <w:b/>
          <w:lang w:val="ru-RU" w:eastAsia="ko-KR"/>
        </w:rPr>
        <w:t>” (</w:t>
      </w:r>
      <w:r>
        <w:rPr>
          <w:rFonts w:eastAsia="Batang"/>
          <w:b/>
          <w:lang w:val="ru-RU" w:eastAsia="ko-KR"/>
        </w:rPr>
        <w:t>ОПц</w:t>
      </w:r>
      <w:r w:rsidRPr="003E0428">
        <w:rPr>
          <w:rFonts w:eastAsia="Batang"/>
          <w:b/>
          <w:lang w:val="ru-RU" w:eastAsia="ko-KR"/>
        </w:rPr>
        <w:t xml:space="preserve">). Максималния брой точки, които участникът може да получи е 100 точки. </w:t>
      </w:r>
    </w:p>
    <w:p w:rsidR="005B1AED" w:rsidRDefault="005B1AED" w:rsidP="00A54533">
      <w:pPr>
        <w:widowControl w:val="0"/>
        <w:autoSpaceDE w:val="0"/>
        <w:autoSpaceDN w:val="0"/>
        <w:adjustRightInd w:val="0"/>
        <w:spacing w:after="60"/>
        <w:ind w:firstLine="567"/>
        <w:jc w:val="both"/>
        <w:rPr>
          <w:rFonts w:eastAsia="Batang"/>
          <w:lang w:val="ru-RU" w:eastAsia="ko-KR"/>
        </w:rPr>
      </w:pPr>
    </w:p>
    <w:p w:rsidR="005B1AED" w:rsidRDefault="005B1AED" w:rsidP="005B1AED">
      <w:pPr>
        <w:widowControl w:val="0"/>
        <w:autoSpaceDE w:val="0"/>
        <w:autoSpaceDN w:val="0"/>
        <w:adjustRightInd w:val="0"/>
        <w:spacing w:after="60"/>
        <w:ind w:firstLine="567"/>
        <w:jc w:val="both"/>
        <w:rPr>
          <w:rFonts w:eastAsia="Batang"/>
          <w:lang w:val="ru-RU" w:eastAsia="ko-KR"/>
        </w:rPr>
      </w:pPr>
      <w:r w:rsidRPr="003E0428">
        <w:rPr>
          <w:rFonts w:eastAsia="Batang"/>
          <w:lang w:val="ru-RU" w:eastAsia="ko-KR"/>
        </w:rPr>
        <w:t>„</w:t>
      </w:r>
      <w:r>
        <w:rPr>
          <w:rFonts w:eastAsia="Batang"/>
          <w:lang w:val="ru-RU" w:eastAsia="ko-KR"/>
        </w:rPr>
        <w:t>Общата оценка</w:t>
      </w:r>
      <w:r w:rsidRPr="003E0428">
        <w:rPr>
          <w:rFonts w:eastAsia="Batang"/>
          <w:lang w:val="ru-RU" w:eastAsia="ko-KR"/>
        </w:rPr>
        <w:t>” се определя на база следните показатели: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76"/>
        <w:gridCol w:w="2490"/>
      </w:tblGrid>
      <w:tr w:rsidR="005B1AED" w:rsidRPr="00F4732B" w:rsidTr="00A54533">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E0E0E0"/>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Показател – П</w:t>
            </w:r>
          </w:p>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lang w:val="bg-BG" w:eastAsia="ko-KR"/>
              </w:rPr>
              <w:t>(наименование)</w:t>
            </w:r>
          </w:p>
        </w:tc>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Максимално възможен бр. точки</w:t>
            </w:r>
          </w:p>
        </w:tc>
        <w:tc>
          <w:tcPr>
            <w:tcW w:w="2490" w:type="dxa"/>
            <w:tcBorders>
              <w:top w:val="single" w:sz="4" w:space="0" w:color="auto"/>
              <w:left w:val="single" w:sz="4" w:space="0" w:color="auto"/>
              <w:bottom w:val="single" w:sz="4" w:space="0" w:color="auto"/>
              <w:right w:val="single" w:sz="4" w:space="0" w:color="auto"/>
            </w:tcBorders>
            <w:shd w:val="clear" w:color="auto" w:fill="E0E0E0"/>
          </w:tcPr>
          <w:p w:rsidR="005B1AED" w:rsidRPr="00A467FB" w:rsidRDefault="005B1AED" w:rsidP="00A54533">
            <w:pPr>
              <w:widowControl w:val="0"/>
              <w:tabs>
                <w:tab w:val="left" w:pos="0"/>
              </w:tabs>
              <w:autoSpaceDE w:val="0"/>
              <w:autoSpaceDN w:val="0"/>
              <w:adjustRightInd w:val="0"/>
              <w:spacing w:after="60"/>
              <w:ind w:firstLine="567"/>
              <w:jc w:val="center"/>
              <w:rPr>
                <w:rFonts w:eastAsia="Batang"/>
                <w:b/>
                <w:lang w:val="bg-BG" w:eastAsia="ko-KR"/>
              </w:rPr>
            </w:pPr>
            <w:r w:rsidRPr="00A467FB">
              <w:rPr>
                <w:rFonts w:eastAsia="Batang"/>
                <w:b/>
                <w:lang w:val="bg-BG" w:eastAsia="ko-KR"/>
              </w:rPr>
              <w:t>Относителна тежест в КО</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rPr>
                <w:rFonts w:eastAsia="Batang"/>
                <w:lang w:val="en-US" w:eastAsia="ko-KR"/>
              </w:rPr>
            </w:pPr>
            <w:r w:rsidRPr="00A467FB">
              <w:rPr>
                <w:rFonts w:eastAsia="Batang"/>
                <w:b/>
                <w:lang w:val="en-US" w:eastAsia="ko-KR"/>
              </w:rPr>
              <w:t>1</w:t>
            </w:r>
            <w:r w:rsidRPr="00A467FB">
              <w:rPr>
                <w:rFonts w:eastAsia="Batang"/>
                <w:b/>
                <w:lang w:val="bg-BG" w:eastAsia="ko-KR"/>
              </w:rPr>
              <w:t>. (Сп)</w:t>
            </w:r>
            <w:r>
              <w:rPr>
                <w:rFonts w:eastAsia="Batang"/>
                <w:lang w:val="bg-BG" w:eastAsia="ko-KR"/>
              </w:rPr>
              <w:t>С</w:t>
            </w:r>
            <w:r w:rsidRPr="00A467FB">
              <w:rPr>
                <w:rFonts w:eastAsia="Batang"/>
                <w:lang w:val="bg-BG" w:eastAsia="ko-KR"/>
              </w:rPr>
              <w:t>рок за изпълнение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10 %</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rPr>
                <w:rFonts w:eastAsia="Batang"/>
                <w:lang w:val="en-US" w:eastAsia="ko-KR"/>
              </w:rPr>
            </w:pPr>
            <w:r w:rsidRPr="00A467FB">
              <w:rPr>
                <w:rFonts w:eastAsia="Batang"/>
                <w:b/>
                <w:lang w:val="en-US" w:eastAsia="ko-KR"/>
              </w:rPr>
              <w:t>2</w:t>
            </w:r>
            <w:r w:rsidRPr="00A467FB">
              <w:rPr>
                <w:rFonts w:eastAsia="Batang"/>
                <w:b/>
                <w:lang w:val="bg-BG" w:eastAsia="ko-KR"/>
              </w:rPr>
              <w:t>. (Тп)</w:t>
            </w:r>
            <w:r>
              <w:rPr>
                <w:rFonts w:eastAsia="Batang"/>
                <w:lang w:val="bg-BG" w:eastAsia="ko-KR"/>
              </w:rPr>
              <w:t>Т</w:t>
            </w:r>
            <w:r w:rsidRPr="00A467FB">
              <w:rPr>
                <w:rFonts w:eastAsia="Batang"/>
                <w:lang w:val="bg-BG" w:eastAsia="ko-KR"/>
              </w:rPr>
              <w:t>ехническото предложение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50 %</w:t>
            </w:r>
          </w:p>
        </w:tc>
      </w:tr>
      <w:tr w:rsidR="005B1AED" w:rsidRPr="00F4732B" w:rsidTr="00A54533">
        <w:tc>
          <w:tcPr>
            <w:tcW w:w="4962"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 w:val="left" w:pos="601"/>
              </w:tabs>
              <w:autoSpaceDE w:val="0"/>
              <w:autoSpaceDN w:val="0"/>
              <w:adjustRightInd w:val="0"/>
              <w:spacing w:after="60"/>
              <w:ind w:firstLine="567"/>
              <w:rPr>
                <w:rFonts w:eastAsia="Batang"/>
                <w:lang w:val="en-US" w:eastAsia="ko-KR"/>
              </w:rPr>
            </w:pPr>
            <w:r w:rsidRPr="00A467FB">
              <w:rPr>
                <w:rFonts w:eastAsia="Batang"/>
                <w:b/>
                <w:lang w:val="en-US" w:eastAsia="ko-KR"/>
              </w:rPr>
              <w:t>3</w:t>
            </w:r>
            <w:r w:rsidRPr="00A467FB">
              <w:rPr>
                <w:rFonts w:eastAsia="Batang"/>
                <w:b/>
                <w:lang w:val="bg-BG" w:eastAsia="ko-KR"/>
              </w:rPr>
              <w:t>.(Фп)</w:t>
            </w:r>
            <w:r>
              <w:rPr>
                <w:rFonts w:eastAsia="Batang"/>
                <w:lang w:val="bg-BG" w:eastAsia="ko-KR"/>
              </w:rPr>
              <w:t>Ф</w:t>
            </w:r>
            <w:r w:rsidRPr="00A467FB">
              <w:rPr>
                <w:rFonts w:eastAsia="Batang"/>
                <w:lang w:val="bg-BG" w:eastAsia="ko-KR"/>
              </w:rPr>
              <w:t>инансовото предложение</w:t>
            </w:r>
          </w:p>
        </w:tc>
        <w:tc>
          <w:tcPr>
            <w:tcW w:w="2376" w:type="dxa"/>
            <w:tcBorders>
              <w:top w:val="single" w:sz="4" w:space="0" w:color="auto"/>
              <w:left w:val="single" w:sz="4" w:space="0" w:color="auto"/>
              <w:bottom w:val="single" w:sz="4" w:space="0" w:color="auto"/>
              <w:right w:val="single" w:sz="4" w:space="0" w:color="auto"/>
            </w:tcBorders>
            <w:vAlign w:val="center"/>
          </w:tcPr>
          <w:p w:rsidR="005B1AED" w:rsidRPr="00A467FB" w:rsidRDefault="005B1AED" w:rsidP="00A54533">
            <w:pPr>
              <w:widowControl w:val="0"/>
              <w:tabs>
                <w:tab w:val="left" w:pos="0"/>
              </w:tabs>
              <w:autoSpaceDE w:val="0"/>
              <w:autoSpaceDN w:val="0"/>
              <w:adjustRightInd w:val="0"/>
              <w:spacing w:after="60"/>
              <w:ind w:firstLine="567"/>
              <w:jc w:val="center"/>
              <w:rPr>
                <w:rFonts w:eastAsia="Batang"/>
                <w:lang w:val="bg-BG" w:eastAsia="ko-KR"/>
              </w:rPr>
            </w:pPr>
            <w:r w:rsidRPr="00A467FB">
              <w:rPr>
                <w:rFonts w:eastAsia="Batang"/>
                <w:lang w:val="bg-BG" w:eastAsia="ko-KR"/>
              </w:rPr>
              <w:t>100</w:t>
            </w:r>
          </w:p>
        </w:tc>
        <w:tc>
          <w:tcPr>
            <w:tcW w:w="2490" w:type="dxa"/>
            <w:tcBorders>
              <w:top w:val="single" w:sz="4" w:space="0" w:color="auto"/>
              <w:left w:val="single" w:sz="4" w:space="0" w:color="auto"/>
              <w:bottom w:val="single" w:sz="4" w:space="0" w:color="auto"/>
              <w:right w:val="single" w:sz="4" w:space="0" w:color="auto"/>
            </w:tcBorders>
          </w:tcPr>
          <w:p w:rsidR="005B1AED" w:rsidRPr="00A467FB" w:rsidRDefault="005B1AED" w:rsidP="007A3B21">
            <w:pPr>
              <w:widowControl w:val="0"/>
              <w:tabs>
                <w:tab w:val="left" w:pos="0"/>
              </w:tabs>
              <w:autoSpaceDE w:val="0"/>
              <w:autoSpaceDN w:val="0"/>
              <w:adjustRightInd w:val="0"/>
              <w:spacing w:after="60"/>
              <w:jc w:val="center"/>
              <w:rPr>
                <w:rFonts w:eastAsia="Batang"/>
                <w:lang w:val="bg-BG" w:eastAsia="ko-KR"/>
              </w:rPr>
            </w:pPr>
            <w:r w:rsidRPr="00A467FB">
              <w:rPr>
                <w:rFonts w:eastAsia="Batang"/>
                <w:lang w:val="bg-BG" w:eastAsia="ko-KR"/>
              </w:rPr>
              <w:t>40 %</w:t>
            </w:r>
          </w:p>
        </w:tc>
      </w:tr>
    </w:tbl>
    <w:p w:rsidR="002725C9" w:rsidRDefault="002725C9" w:rsidP="003E0428">
      <w:pPr>
        <w:widowControl w:val="0"/>
        <w:autoSpaceDE w:val="0"/>
        <w:autoSpaceDN w:val="0"/>
        <w:adjustRightInd w:val="0"/>
        <w:ind w:firstLine="567"/>
        <w:jc w:val="both"/>
        <w:rPr>
          <w:b/>
          <w:caps/>
          <w:color w:val="000000"/>
          <w:u w:val="single"/>
          <w:lang w:val="bg-BG" w:eastAsia="ko-KR"/>
        </w:rPr>
      </w:pPr>
    </w:p>
    <w:p w:rsidR="00EE7445" w:rsidRPr="009359E7" w:rsidRDefault="00EE7445" w:rsidP="00EE7445">
      <w:pPr>
        <w:widowControl w:val="0"/>
        <w:tabs>
          <w:tab w:val="left" w:pos="0"/>
        </w:tabs>
        <w:autoSpaceDE w:val="0"/>
        <w:autoSpaceDN w:val="0"/>
        <w:adjustRightInd w:val="0"/>
        <w:spacing w:after="60"/>
        <w:ind w:firstLine="567"/>
        <w:rPr>
          <w:rFonts w:eastAsia="Batang"/>
          <w:b/>
          <w:lang w:val="ru-RU" w:eastAsia="ko-KR"/>
        </w:rPr>
      </w:pPr>
      <w:r w:rsidRPr="009359E7">
        <w:rPr>
          <w:rFonts w:eastAsia="Batang"/>
          <w:b/>
          <w:lang w:val="ru-RU" w:eastAsia="ko-KR"/>
        </w:rPr>
        <w:t>Формулата по която се изчислява „Общата оценка” за всеки участник е:</w:t>
      </w:r>
    </w:p>
    <w:p w:rsidR="00EE7445" w:rsidRPr="00B2136A" w:rsidRDefault="00EE7445" w:rsidP="00EE7445">
      <w:pPr>
        <w:widowControl w:val="0"/>
        <w:tabs>
          <w:tab w:val="left" w:pos="0"/>
        </w:tabs>
        <w:autoSpaceDE w:val="0"/>
        <w:autoSpaceDN w:val="0"/>
        <w:adjustRightInd w:val="0"/>
        <w:spacing w:after="60"/>
        <w:ind w:firstLine="567"/>
        <w:jc w:val="center"/>
        <w:rPr>
          <w:rFonts w:eastAsia="Batang"/>
          <w:i/>
          <w:highlight w:val="green"/>
          <w:lang w:val="ru-RU" w:eastAsia="ko-KR"/>
        </w:rPr>
      </w:pPr>
      <w:r w:rsidRPr="00A467FB">
        <w:rPr>
          <w:b/>
          <w:lang w:val="ru-RU"/>
        </w:rPr>
        <w:t>(ОЦп) = (Сп*0,10) + (Тп*0,50) + (Фп*0,40);</w:t>
      </w:r>
    </w:p>
    <w:p w:rsidR="00EE7445" w:rsidRPr="009359E7" w:rsidRDefault="00EE7445" w:rsidP="00EE7445">
      <w:pPr>
        <w:widowControl w:val="0"/>
        <w:tabs>
          <w:tab w:val="left" w:pos="360"/>
          <w:tab w:val="left" w:pos="1069"/>
        </w:tabs>
        <w:autoSpaceDE w:val="0"/>
        <w:autoSpaceDN w:val="0"/>
        <w:adjustRightInd w:val="0"/>
        <w:spacing w:after="60"/>
        <w:ind w:firstLine="567"/>
        <w:jc w:val="both"/>
        <w:rPr>
          <w:rFonts w:eastAsia="Batang"/>
          <w:b/>
          <w:i/>
          <w:u w:val="single"/>
          <w:lang w:val="ru-RU" w:eastAsia="ko-KR"/>
        </w:rPr>
      </w:pPr>
      <w:r w:rsidRPr="009359E7">
        <w:rPr>
          <w:rFonts w:eastAsia="Batang"/>
          <w:b/>
          <w:i/>
          <w:u w:val="single"/>
          <w:lang w:val="ru-RU" w:eastAsia="ko-KR"/>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EE7445" w:rsidRDefault="00EE7445" w:rsidP="00EE7445">
      <w:pPr>
        <w:widowControl w:val="0"/>
        <w:autoSpaceDE w:val="0"/>
        <w:autoSpaceDN w:val="0"/>
        <w:adjustRightInd w:val="0"/>
        <w:ind w:firstLine="567"/>
        <w:jc w:val="both"/>
        <w:rPr>
          <w:b/>
          <w:caps/>
          <w:color w:val="000000"/>
          <w:lang w:val="bg-BG" w:eastAsia="ko-KR"/>
        </w:rPr>
      </w:pPr>
    </w:p>
    <w:p w:rsidR="00EE7445" w:rsidRPr="00FC0423" w:rsidRDefault="00EE7445" w:rsidP="00EE7445">
      <w:pPr>
        <w:spacing w:line="276" w:lineRule="auto"/>
        <w:ind w:right="-567" w:firstLine="708"/>
        <w:jc w:val="both"/>
        <w:rPr>
          <w:b/>
          <w:lang w:val="bg-BG" w:eastAsia="fr-FR"/>
        </w:rPr>
      </w:pPr>
      <w:r>
        <w:rPr>
          <w:b/>
          <w:lang w:val="bg-BG" w:eastAsia="fr-FR"/>
        </w:rPr>
        <w:t xml:space="preserve">* </w:t>
      </w:r>
      <w:r w:rsidRPr="00FC0423">
        <w:rPr>
          <w:b/>
          <w:lang w:val="bg-BG" w:eastAsia="fr-FR"/>
        </w:rPr>
        <w:t>Указания за определяне на оценката по всеки показател:</w:t>
      </w:r>
    </w:p>
    <w:p w:rsidR="00EE7445" w:rsidRDefault="00EE7445" w:rsidP="00EE7445">
      <w:pPr>
        <w:spacing w:line="276" w:lineRule="auto"/>
        <w:ind w:right="-567" w:firstLine="708"/>
        <w:jc w:val="both"/>
        <w:rPr>
          <w:b/>
          <w:lang w:val="bg-BG" w:eastAsia="fr-FR"/>
        </w:rPr>
      </w:pPr>
    </w:p>
    <w:p w:rsidR="00EE7445" w:rsidRPr="009359E7" w:rsidRDefault="00EE7445" w:rsidP="00EE7445">
      <w:pPr>
        <w:spacing w:line="276" w:lineRule="auto"/>
        <w:ind w:right="-567" w:firstLine="708"/>
        <w:jc w:val="both"/>
        <w:rPr>
          <w:b/>
          <w:highlight w:val="yellow"/>
          <w:u w:val="single"/>
          <w:lang w:val="bg-BG" w:eastAsia="fr-FR"/>
        </w:rPr>
      </w:pPr>
      <w:r w:rsidRPr="009359E7">
        <w:rPr>
          <w:b/>
          <w:u w:val="single"/>
          <w:lang w:val="bg-BG" w:eastAsia="fr-FR"/>
        </w:rPr>
        <w:t>1.Оценка на срока за изпълнение на поръчката.</w:t>
      </w:r>
    </w:p>
    <w:p w:rsidR="004768AF" w:rsidRDefault="00DD384D" w:rsidP="00EE7445">
      <w:pPr>
        <w:spacing w:line="276" w:lineRule="auto"/>
        <w:ind w:right="-567" w:firstLine="708"/>
        <w:jc w:val="both"/>
        <w:rPr>
          <w:lang w:val="bg-BG" w:eastAsia="fr-FR"/>
        </w:rPr>
      </w:pPr>
      <w:r w:rsidRPr="00FC0423">
        <w:rPr>
          <w:lang w:val="bg-BG" w:eastAsia="fr-FR"/>
        </w:rPr>
        <w:t xml:space="preserve">Оценява се предложения от участника срок за изпълнение на поръчката </w:t>
      </w:r>
      <w:r w:rsidRPr="00FC0423">
        <w:rPr>
          <w:b/>
          <w:lang w:val="bg-BG" w:eastAsia="fr-FR"/>
        </w:rPr>
        <w:t>в календарни дни.</w:t>
      </w:r>
      <w:r>
        <w:rPr>
          <w:lang w:val="bg-BG" w:eastAsia="fr-FR"/>
        </w:rPr>
        <w:t xml:space="preserve"> Предложенията по показател </w:t>
      </w:r>
      <w:r w:rsidRPr="00FC0423">
        <w:rPr>
          <w:b/>
          <w:lang w:val="bg-BG" w:eastAsia="fr-FR"/>
        </w:rPr>
        <w:t>„срок за изпълнение“</w:t>
      </w:r>
      <w:r w:rsidRPr="00FC0423">
        <w:rPr>
          <w:lang w:val="bg-BG" w:eastAsia="fr-FR"/>
        </w:rPr>
        <w:t xml:space="preserve"> се представят като цяло положително число. </w:t>
      </w:r>
    </w:p>
    <w:p w:rsidR="004768AF" w:rsidRDefault="005E7C0B" w:rsidP="00EE7445">
      <w:pPr>
        <w:spacing w:line="276" w:lineRule="auto"/>
        <w:ind w:right="-567" w:firstLine="708"/>
        <w:jc w:val="both"/>
        <w:rPr>
          <w:lang w:val="bg-BG" w:eastAsia="fr-FR"/>
        </w:rPr>
      </w:pPr>
      <w:r w:rsidRPr="005E7C0B">
        <w:rPr>
          <w:b/>
          <w:lang w:val="bg-BG" w:eastAsia="fr-FR"/>
        </w:rPr>
        <w:t xml:space="preserve">Участникът трябва да представи </w:t>
      </w:r>
      <w:r>
        <w:rPr>
          <w:b/>
          <w:lang w:val="bg-BG" w:eastAsia="fr-FR"/>
        </w:rPr>
        <w:t>както общ срок за изпълнение</w:t>
      </w:r>
      <w:r w:rsidR="004768AF">
        <w:rPr>
          <w:b/>
          <w:lang w:val="bg-BG" w:eastAsia="fr-FR"/>
        </w:rPr>
        <w:t xml:space="preserve"> на поръчката</w:t>
      </w:r>
      <w:r>
        <w:rPr>
          <w:b/>
          <w:lang w:val="bg-BG" w:eastAsia="fr-FR"/>
        </w:rPr>
        <w:t xml:space="preserve">, така и </w:t>
      </w:r>
      <w:r w:rsidRPr="005E7C0B">
        <w:rPr>
          <w:b/>
          <w:lang w:val="bg-BG" w:eastAsia="fr-FR"/>
        </w:rPr>
        <w:t xml:space="preserve">срок за изпълнение </w:t>
      </w:r>
      <w:r w:rsidR="004768AF">
        <w:rPr>
          <w:b/>
          <w:lang w:val="bg-BG" w:eastAsia="fr-FR"/>
        </w:rPr>
        <w:t xml:space="preserve">на всеки от етапите на поръчката. </w:t>
      </w:r>
      <w:r w:rsidRPr="005E7C0B">
        <w:rPr>
          <w:b/>
          <w:lang w:val="bg-BG" w:eastAsia="fr-FR"/>
        </w:rPr>
        <w:t>На оценка подлежи само общия срок за изпълнение на поръчката.</w:t>
      </w:r>
    </w:p>
    <w:p w:rsidR="00C86D72" w:rsidRDefault="00C86D72">
      <w:pPr>
        <w:rPr>
          <w:b/>
          <w:lang w:val="bg-BG" w:eastAsia="fr-FR"/>
        </w:rPr>
      </w:pPr>
      <w:r>
        <w:rPr>
          <w:b/>
          <w:lang w:val="bg-BG" w:eastAsia="fr-FR"/>
        </w:rPr>
        <w:br w:type="page"/>
      </w:r>
    </w:p>
    <w:p w:rsidR="004768AF" w:rsidRPr="004768AF" w:rsidRDefault="00DD384D" w:rsidP="00EE7445">
      <w:pPr>
        <w:spacing w:line="276" w:lineRule="auto"/>
        <w:ind w:right="-567" w:firstLine="708"/>
        <w:jc w:val="both"/>
        <w:rPr>
          <w:b/>
          <w:lang w:val="bg-BG" w:eastAsia="fr-FR"/>
        </w:rPr>
      </w:pPr>
      <w:r w:rsidRPr="004768AF">
        <w:rPr>
          <w:b/>
          <w:lang w:val="bg-BG" w:eastAsia="fr-FR"/>
        </w:rPr>
        <w:lastRenderedPageBreak/>
        <w:t xml:space="preserve">Ще бъдат отстранени предложения, в които срокът за изпълнение е предложен в различна мерна единица или </w:t>
      </w:r>
      <w:r w:rsidR="004768AF" w:rsidRPr="004768AF">
        <w:rPr>
          <w:b/>
          <w:lang w:val="bg-BG" w:eastAsia="fr-FR"/>
        </w:rPr>
        <w:t>не е представен като цяло число, както и в случай, че не бъде представен общ срок на изпълнение на поръчката и/или срок за изпълнение на всеки от етапите на поръчката.</w:t>
      </w:r>
    </w:p>
    <w:p w:rsidR="00EE7445" w:rsidRDefault="00DD384D" w:rsidP="00EE7445">
      <w:pPr>
        <w:spacing w:line="276" w:lineRule="auto"/>
        <w:ind w:right="-567" w:firstLine="708"/>
        <w:jc w:val="both"/>
        <w:rPr>
          <w:lang w:val="bg-BG" w:eastAsia="fr-FR"/>
        </w:rPr>
      </w:pPr>
      <w:r w:rsidRPr="00FC0423">
        <w:rPr>
          <w:lang w:val="bg-BG" w:eastAsia="fr-FR"/>
        </w:rPr>
        <w:t xml:space="preserve">Участникътпредложил най – кратък срок за изпълнение получава максимален брой точки по показателя </w:t>
      </w:r>
      <w:r w:rsidRPr="00FC0423">
        <w:rPr>
          <w:b/>
          <w:lang w:val="bg-BG" w:eastAsia="fr-FR"/>
        </w:rPr>
        <w:t xml:space="preserve">– 100 точки. </w:t>
      </w:r>
      <w:r w:rsidRPr="0038091B">
        <w:rPr>
          <w:lang w:val="bg-BG" w:eastAsia="fr-FR"/>
        </w:rPr>
        <w:t xml:space="preserve">Максимално допустимия срок за изпълнение на поръчката е </w:t>
      </w:r>
      <w:r w:rsidR="00A50ABC">
        <w:rPr>
          <w:lang w:val="bg-BG" w:eastAsia="fr-FR"/>
        </w:rPr>
        <w:t>90</w:t>
      </w:r>
      <w:r w:rsidRPr="0038091B">
        <w:rPr>
          <w:lang w:val="bg-BG" w:eastAsia="fr-FR"/>
        </w:rPr>
        <w:t xml:space="preserve"> каледнарни дни.</w:t>
      </w:r>
      <w:r>
        <w:rPr>
          <w:lang w:val="bg-BG" w:eastAsia="fr-FR"/>
        </w:rPr>
        <w:t xml:space="preserve"> Участникът, предложил по-дълъг срок за изпълнение, ще бъде отстранен от участие.</w:t>
      </w:r>
    </w:p>
    <w:p w:rsidR="009C5FD6" w:rsidRDefault="009C5FD6" w:rsidP="00EE7445">
      <w:pPr>
        <w:spacing w:line="276" w:lineRule="auto"/>
        <w:ind w:right="-567" w:firstLine="708"/>
        <w:jc w:val="both"/>
        <w:rPr>
          <w:b/>
          <w:lang w:val="bg-BG" w:eastAsia="fr-FR"/>
        </w:rPr>
      </w:pPr>
    </w:p>
    <w:p w:rsidR="00EE7445" w:rsidRPr="00FC0423" w:rsidRDefault="00EE7445" w:rsidP="00EE7445">
      <w:pPr>
        <w:spacing w:line="276" w:lineRule="auto"/>
        <w:ind w:left="708" w:right="-567"/>
        <w:jc w:val="both"/>
        <w:rPr>
          <w:b/>
          <w:lang w:val="bg-BG" w:eastAsia="fr-FR"/>
        </w:rPr>
      </w:pPr>
      <w:r w:rsidRPr="00FC0423">
        <w:rPr>
          <w:lang w:val="bg-BG" w:eastAsia="fr-FR"/>
        </w:rPr>
        <w:t xml:space="preserve">Оценките на участниците по показателя се изчисляват по формулата: </w:t>
      </w:r>
    </w:p>
    <w:p w:rsidR="00EE7445" w:rsidRPr="00FC0423" w:rsidRDefault="00EE7445" w:rsidP="00EE7445">
      <w:pPr>
        <w:spacing w:line="276" w:lineRule="auto"/>
        <w:ind w:right="-567"/>
        <w:jc w:val="center"/>
        <w:rPr>
          <w:lang w:val="bg-BG" w:eastAsia="fr-FR"/>
        </w:rPr>
      </w:pPr>
      <w:r w:rsidRPr="00FC0423">
        <w:rPr>
          <w:b/>
          <w:lang w:val="bg-BG" w:eastAsia="fr-FR"/>
        </w:rPr>
        <w:t>Сп = (Смин * 100) / С</w:t>
      </w:r>
    </w:p>
    <w:p w:rsidR="00EE7445" w:rsidRPr="00FC0423" w:rsidRDefault="00EE7445" w:rsidP="00EE7445">
      <w:pPr>
        <w:spacing w:line="276" w:lineRule="auto"/>
        <w:ind w:right="-567" w:firstLine="708"/>
        <w:jc w:val="both"/>
        <w:rPr>
          <w:lang w:val="bg-BG" w:eastAsia="fr-FR"/>
        </w:rPr>
      </w:pPr>
      <w:r w:rsidRPr="00FC0423">
        <w:rPr>
          <w:lang w:val="bg-BG" w:eastAsia="fr-FR"/>
        </w:rPr>
        <w:t xml:space="preserve">Където </w:t>
      </w:r>
      <w:r w:rsidRPr="00FC0423">
        <w:rPr>
          <w:b/>
          <w:lang w:val="bg-BG" w:eastAsia="fr-FR"/>
        </w:rPr>
        <w:t>С</w:t>
      </w:r>
      <w:r>
        <w:rPr>
          <w:b/>
          <w:lang w:val="bg-BG" w:eastAsia="fr-FR"/>
        </w:rPr>
        <w:t>,</w:t>
      </w:r>
      <w:r w:rsidRPr="00FC0423">
        <w:rPr>
          <w:lang w:val="bg-BG" w:eastAsia="fr-FR"/>
        </w:rPr>
        <w:t xml:space="preserve"> е предложеният срок на изпълнение</w:t>
      </w:r>
      <w:r>
        <w:rPr>
          <w:lang w:val="bg-BG" w:eastAsia="fr-FR"/>
        </w:rPr>
        <w:t>,</w:t>
      </w:r>
      <w:r w:rsidRPr="00FC0423">
        <w:rPr>
          <w:lang w:val="bg-BG" w:eastAsia="fr-FR"/>
        </w:rPr>
        <w:t xml:space="preserve"> съгласно Техническото предложение на съответния участник.</w:t>
      </w:r>
    </w:p>
    <w:p w:rsidR="00EE7445" w:rsidRPr="00FC0423" w:rsidRDefault="00EE7445" w:rsidP="00EE7445">
      <w:pPr>
        <w:spacing w:line="276" w:lineRule="auto"/>
        <w:ind w:right="-567" w:firstLine="708"/>
        <w:jc w:val="both"/>
        <w:rPr>
          <w:b/>
          <w:lang w:val="bg-BG" w:eastAsia="fr-FR"/>
        </w:rPr>
      </w:pPr>
      <w:r w:rsidRPr="00FC0423">
        <w:rPr>
          <w:lang w:val="bg-BG" w:eastAsia="fr-FR"/>
        </w:rPr>
        <w:t xml:space="preserve">Където </w:t>
      </w:r>
      <w:r w:rsidRPr="00FC0423">
        <w:rPr>
          <w:b/>
          <w:lang w:val="bg-BG" w:eastAsia="fr-FR"/>
        </w:rPr>
        <w:t>Сmin</w:t>
      </w:r>
      <w:r>
        <w:rPr>
          <w:b/>
          <w:lang w:val="bg-BG" w:eastAsia="fr-FR"/>
        </w:rPr>
        <w:t>,</w:t>
      </w:r>
      <w:r w:rsidRPr="00FC0423">
        <w:rPr>
          <w:lang w:val="bg-BG" w:eastAsia="fr-FR"/>
        </w:rPr>
        <w:t xml:space="preserve"> е минималният предложен срок на изпълнение</w:t>
      </w:r>
      <w:r>
        <w:rPr>
          <w:lang w:val="bg-BG" w:eastAsia="fr-FR"/>
        </w:rPr>
        <w:t>,</w:t>
      </w:r>
      <w:r w:rsidRPr="00FC0423">
        <w:rPr>
          <w:lang w:val="bg-BG" w:eastAsia="fr-FR"/>
        </w:rPr>
        <w:t xml:space="preserve"> съгласно Техническите предложения от всички участници.</w:t>
      </w:r>
    </w:p>
    <w:p w:rsidR="00EE7445" w:rsidRDefault="00EE7445" w:rsidP="00EE7445">
      <w:pPr>
        <w:spacing w:line="276" w:lineRule="auto"/>
        <w:ind w:right="-567" w:firstLine="708"/>
        <w:jc w:val="both"/>
        <w:rPr>
          <w:b/>
          <w:lang w:val="bg-BG" w:eastAsia="fr-FR"/>
        </w:rPr>
      </w:pPr>
    </w:p>
    <w:p w:rsidR="00EE7445" w:rsidRPr="009359E7" w:rsidRDefault="00EE7445" w:rsidP="00EE7445">
      <w:pPr>
        <w:spacing w:line="276" w:lineRule="auto"/>
        <w:ind w:right="-567" w:firstLine="708"/>
        <w:jc w:val="both"/>
        <w:rPr>
          <w:b/>
          <w:u w:val="single"/>
          <w:lang w:val="bg-BG" w:eastAsia="fr-FR"/>
        </w:rPr>
      </w:pPr>
      <w:r w:rsidRPr="009359E7">
        <w:rPr>
          <w:b/>
          <w:u w:val="single"/>
          <w:lang w:val="bg-BG" w:eastAsia="fr-FR"/>
        </w:rPr>
        <w:t xml:space="preserve">2. Оценка на техническото предложение за изпълнение на поръчката. </w:t>
      </w:r>
    </w:p>
    <w:p w:rsidR="00EE7445" w:rsidRPr="00FC0423" w:rsidRDefault="00EE7445" w:rsidP="00EE7445">
      <w:pPr>
        <w:autoSpaceDE w:val="0"/>
        <w:autoSpaceDN w:val="0"/>
        <w:adjustRightInd w:val="0"/>
        <w:spacing w:line="276" w:lineRule="auto"/>
        <w:ind w:right="-567" w:firstLine="708"/>
        <w:jc w:val="both"/>
        <w:rPr>
          <w:lang w:val="bg-BG" w:eastAsia="bg-BG"/>
        </w:rPr>
      </w:pPr>
      <w:r w:rsidRPr="00FC0423">
        <w:rPr>
          <w:lang w:val="bg-BG" w:eastAsia="bg-BG"/>
        </w:rPr>
        <w:t>Оценката на техническото предложение се извършва по точковата система на оценяване по скалата посочена по долу. То трябва задължително да e съобразено с Техническ</w:t>
      </w:r>
      <w:r>
        <w:rPr>
          <w:lang w:val="bg-BG" w:eastAsia="bg-BG"/>
        </w:rPr>
        <w:t>ата спецификация</w:t>
      </w:r>
      <w:r w:rsidRPr="00FC0423">
        <w:rPr>
          <w:lang w:val="bg-BG" w:eastAsia="bg-BG"/>
        </w:rPr>
        <w:t>.</w:t>
      </w:r>
    </w:p>
    <w:p w:rsidR="00EE7445" w:rsidRPr="00FC0423" w:rsidRDefault="00EE7445" w:rsidP="00EE7445">
      <w:pPr>
        <w:autoSpaceDE w:val="0"/>
        <w:spacing w:line="276" w:lineRule="auto"/>
        <w:ind w:right="-567" w:firstLine="708"/>
        <w:jc w:val="both"/>
        <w:rPr>
          <w:lang w:val="bg-BG" w:eastAsia="fr-FR"/>
        </w:rPr>
      </w:pPr>
      <w:r w:rsidRPr="00FC0423">
        <w:rPr>
          <w:lang w:val="bg-BG" w:eastAsia="fr-FR"/>
        </w:rPr>
        <w:t>Техническо предложение за изпълнение на поръчката</w:t>
      </w:r>
      <w:r>
        <w:rPr>
          <w:lang w:val="bg-BG" w:eastAsia="fr-FR"/>
        </w:rPr>
        <w:t xml:space="preserve"> трябва задължително да включва:</w:t>
      </w:r>
    </w:p>
    <w:p w:rsidR="00EE7445" w:rsidRDefault="00EE7445" w:rsidP="00A45405">
      <w:pPr>
        <w:numPr>
          <w:ilvl w:val="0"/>
          <w:numId w:val="14"/>
        </w:numPr>
        <w:spacing w:after="200" w:line="276" w:lineRule="auto"/>
        <w:ind w:right="-567"/>
        <w:jc w:val="both"/>
        <w:rPr>
          <w:lang w:val="bg-BG" w:eastAsia="fr-FR"/>
        </w:rPr>
      </w:pPr>
      <w:r w:rsidRPr="00FC0423">
        <w:rPr>
          <w:b/>
          <w:lang w:val="bg-BG" w:eastAsia="fr-FR"/>
        </w:rPr>
        <w:t xml:space="preserve">Степен на подробност и степен на разбиране на основните цели и очакваните резултати от изпълнението на договора - </w:t>
      </w:r>
      <w:r w:rsidRPr="00FC0423">
        <w:rPr>
          <w:lang w:val="bg-BG" w:eastAsia="fr-FR"/>
        </w:rPr>
        <w:t>всеки участник трябва да направи задълбочен и точен анализ на всички основни цели и очаквани резултати от изпълнението на обществената поръчка, заложени в техническата спецификация, излагайки своята концепция за тяхното своевременно реализиране, съобразявайки се с характера и сложността на предмета на поръчката;</w:t>
      </w:r>
    </w:p>
    <w:p w:rsidR="00EE7445" w:rsidRDefault="00EE7445" w:rsidP="00A45405">
      <w:pPr>
        <w:numPr>
          <w:ilvl w:val="0"/>
          <w:numId w:val="14"/>
        </w:numPr>
        <w:spacing w:after="200" w:line="276" w:lineRule="auto"/>
        <w:ind w:right="-567"/>
        <w:jc w:val="both"/>
        <w:rPr>
          <w:lang w:val="bg-BG" w:eastAsia="fr-FR"/>
        </w:rPr>
      </w:pPr>
      <w:r w:rsidRPr="00FC0423">
        <w:rPr>
          <w:b/>
          <w:lang w:val="bg-BG" w:eastAsia="fr-FR"/>
        </w:rPr>
        <w:t>Описание на стратегията на участника</w:t>
      </w:r>
      <w:r w:rsidRPr="00FC0423">
        <w:rPr>
          <w:lang w:val="bg-BG" w:eastAsia="fr-FR"/>
        </w:rPr>
        <w:t xml:space="preserve"> - следва да съдържа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и използвани средства за постигане на всеки от посочените в Техническата спецификация резултати</w:t>
      </w:r>
      <w:r>
        <w:rPr>
          <w:lang w:val="bg-BG" w:eastAsia="fr-FR"/>
        </w:rPr>
        <w:t>,</w:t>
      </w:r>
      <w:r w:rsidRPr="00FC0423">
        <w:rPr>
          <w:lang w:val="bg-BG" w:eastAsia="fr-FR"/>
        </w:rPr>
        <w:t xml:space="preserve"> с посочване на концепция за организация на работната сила за качествено и в срок изпълнение на договора. </w:t>
      </w:r>
    </w:p>
    <w:p w:rsidR="00EE7445" w:rsidRDefault="00EE7445" w:rsidP="00EE7445">
      <w:pPr>
        <w:spacing w:after="200" w:line="276" w:lineRule="auto"/>
        <w:ind w:right="-567" w:firstLine="708"/>
        <w:jc w:val="both"/>
        <w:rPr>
          <w:b/>
          <w:lang w:val="bg-BG" w:eastAsia="fr-FR"/>
        </w:rPr>
      </w:pPr>
      <w:r w:rsidRPr="00FC0423">
        <w:rPr>
          <w:lang w:val="bg-BG" w:eastAsia="fr-FR"/>
        </w:rPr>
        <w:t xml:space="preserve">Следва да се изложи как участникът ще изпълни предмета на поръчката, съгласно насоките, указанията и условията на </w:t>
      </w:r>
      <w:r w:rsidRPr="0042063E">
        <w:rPr>
          <w:b/>
          <w:lang w:val="bg-BG" w:eastAsia="fr-FR"/>
        </w:rPr>
        <w:t>Оперативна програма „Регионално развитие” 2007-2013</w:t>
      </w:r>
      <w:r>
        <w:rPr>
          <w:b/>
          <w:lang w:val="bg-BG" w:eastAsia="fr-FR"/>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316"/>
        <w:gridCol w:w="5771"/>
        <w:gridCol w:w="1004"/>
      </w:tblGrid>
      <w:tr w:rsidR="00EE7445" w:rsidRPr="00FC0423" w:rsidTr="00505A52">
        <w:trPr>
          <w:tblHeader/>
        </w:trPr>
        <w:tc>
          <w:tcPr>
            <w:tcW w:w="557" w:type="dxa"/>
            <w:vAlign w:val="center"/>
          </w:tcPr>
          <w:p w:rsidR="00EE7445" w:rsidRPr="00EE256F" w:rsidRDefault="00EE7445" w:rsidP="00EE256F">
            <w:pPr>
              <w:widowControl w:val="0"/>
              <w:tabs>
                <w:tab w:val="left" w:pos="283"/>
              </w:tabs>
              <w:spacing w:after="200" w:line="276" w:lineRule="auto"/>
              <w:ind w:right="141"/>
              <w:jc w:val="both"/>
              <w:rPr>
                <w:color w:val="000000"/>
                <w:spacing w:val="-10"/>
                <w:sz w:val="22"/>
                <w:szCs w:val="22"/>
                <w:lang w:val="bg-BG"/>
              </w:rPr>
            </w:pPr>
            <w:r w:rsidRPr="00EE256F">
              <w:rPr>
                <w:color w:val="000000"/>
                <w:spacing w:val="-10"/>
                <w:sz w:val="22"/>
                <w:szCs w:val="22"/>
                <w:lang w:val="bg-BG"/>
              </w:rPr>
              <w:t>№</w:t>
            </w:r>
          </w:p>
        </w:tc>
        <w:tc>
          <w:tcPr>
            <w:tcW w:w="2316" w:type="dxa"/>
            <w:vAlign w:val="center"/>
          </w:tcPr>
          <w:p w:rsidR="00EE7445" w:rsidRPr="00FC0423" w:rsidRDefault="00EE7445" w:rsidP="00FF651B">
            <w:pPr>
              <w:ind w:right="-567"/>
              <w:jc w:val="center"/>
              <w:rPr>
                <w:b/>
                <w:sz w:val="22"/>
                <w:szCs w:val="22"/>
                <w:lang w:val="bg-BG" w:eastAsia="fr-FR"/>
              </w:rPr>
            </w:pPr>
            <w:r w:rsidRPr="00FC0423">
              <w:rPr>
                <w:b/>
                <w:sz w:val="22"/>
                <w:szCs w:val="22"/>
                <w:lang w:val="bg-BG" w:eastAsia="fr-FR"/>
              </w:rPr>
              <w:t>Показател</w:t>
            </w:r>
          </w:p>
        </w:tc>
        <w:tc>
          <w:tcPr>
            <w:tcW w:w="5771" w:type="dxa"/>
            <w:shd w:val="clear" w:color="auto" w:fill="auto"/>
            <w:vAlign w:val="center"/>
          </w:tcPr>
          <w:p w:rsidR="00EE7445" w:rsidRPr="00FC0423" w:rsidRDefault="00EE7445" w:rsidP="00FF651B">
            <w:pPr>
              <w:spacing w:line="360" w:lineRule="auto"/>
              <w:ind w:right="-567"/>
              <w:jc w:val="center"/>
              <w:rPr>
                <w:b/>
                <w:sz w:val="22"/>
                <w:szCs w:val="22"/>
                <w:lang w:val="bg-BG" w:eastAsia="fr-FR"/>
              </w:rPr>
            </w:pPr>
            <w:r w:rsidRPr="00FC0423">
              <w:rPr>
                <w:b/>
                <w:sz w:val="22"/>
                <w:szCs w:val="22"/>
                <w:lang w:val="bg-BG" w:eastAsia="fr-FR"/>
              </w:rPr>
              <w:t>Степен на съответствие</w:t>
            </w:r>
          </w:p>
        </w:tc>
        <w:tc>
          <w:tcPr>
            <w:tcW w:w="1004" w:type="dxa"/>
            <w:shd w:val="clear" w:color="auto" w:fill="auto"/>
            <w:vAlign w:val="center"/>
          </w:tcPr>
          <w:p w:rsidR="00EE7445" w:rsidRPr="00FC0423" w:rsidRDefault="00EE7445" w:rsidP="00FF651B">
            <w:pPr>
              <w:spacing w:line="360" w:lineRule="auto"/>
              <w:ind w:right="-1"/>
              <w:jc w:val="center"/>
              <w:rPr>
                <w:b/>
                <w:sz w:val="22"/>
                <w:szCs w:val="22"/>
                <w:lang w:val="bg-BG" w:eastAsia="fr-FR"/>
              </w:rPr>
            </w:pPr>
            <w:r w:rsidRPr="00FC0423">
              <w:rPr>
                <w:b/>
                <w:sz w:val="22"/>
                <w:szCs w:val="22"/>
                <w:lang w:val="bg-BG" w:eastAsia="fr-FR"/>
              </w:rPr>
              <w:t>Брой точки</w:t>
            </w:r>
          </w:p>
        </w:tc>
      </w:tr>
      <w:tr w:rsidR="00EE7445" w:rsidRPr="00FC0423" w:rsidTr="00505A52">
        <w:tc>
          <w:tcPr>
            <w:tcW w:w="557" w:type="dxa"/>
            <w:vMerge w:val="restart"/>
          </w:tcPr>
          <w:p w:rsidR="00EE7445" w:rsidRPr="00FC0423" w:rsidRDefault="00EE7445" w:rsidP="00A54533">
            <w:pPr>
              <w:spacing w:line="360" w:lineRule="auto"/>
              <w:ind w:right="141"/>
              <w:jc w:val="both"/>
              <w:rPr>
                <w:sz w:val="22"/>
                <w:szCs w:val="22"/>
                <w:lang w:val="bg-BG" w:eastAsia="fr-FR"/>
              </w:rPr>
            </w:pPr>
            <w:r w:rsidRPr="00FC0423">
              <w:rPr>
                <w:sz w:val="22"/>
                <w:szCs w:val="22"/>
                <w:lang w:val="bg-BG" w:eastAsia="fr-FR"/>
              </w:rPr>
              <w:t>1.</w:t>
            </w:r>
          </w:p>
        </w:tc>
        <w:tc>
          <w:tcPr>
            <w:tcW w:w="2316" w:type="dxa"/>
            <w:vMerge w:val="restart"/>
          </w:tcPr>
          <w:p w:rsidR="00EE7445" w:rsidRPr="00FC0423" w:rsidRDefault="00EE7445" w:rsidP="007D501D">
            <w:pPr>
              <w:tabs>
                <w:tab w:val="left" w:pos="0"/>
              </w:tabs>
              <w:ind w:right="141"/>
              <w:rPr>
                <w:b/>
                <w:sz w:val="22"/>
                <w:szCs w:val="22"/>
                <w:lang w:val="bg-BG" w:eastAsia="fr-FR"/>
              </w:rPr>
            </w:pPr>
            <w:r w:rsidRPr="00FC0423">
              <w:rPr>
                <w:b/>
                <w:sz w:val="22"/>
                <w:szCs w:val="22"/>
                <w:lang w:val="bg-BG" w:eastAsia="fr-FR"/>
              </w:rPr>
              <w:t>Техническо предложение Тп</w:t>
            </w:r>
          </w:p>
          <w:p w:rsidR="00EE7445" w:rsidRPr="00FC0423" w:rsidRDefault="00EE7445" w:rsidP="007D501D">
            <w:pPr>
              <w:ind w:left="10" w:hanging="10"/>
              <w:contextualSpacing/>
              <w:rPr>
                <w:i/>
                <w:sz w:val="22"/>
                <w:szCs w:val="22"/>
                <w:lang w:val="bg-BG" w:eastAsia="fr-FR"/>
              </w:rPr>
            </w:pPr>
            <w:r w:rsidRPr="00FC0423">
              <w:rPr>
                <w:i/>
                <w:sz w:val="22"/>
                <w:szCs w:val="22"/>
                <w:lang w:val="bg-BG" w:eastAsia="fr-FR"/>
              </w:rPr>
              <w:t>За целите на настоящата методи</w:t>
            </w:r>
            <w:r w:rsidR="007D501D">
              <w:rPr>
                <w:i/>
                <w:sz w:val="22"/>
                <w:szCs w:val="22"/>
                <w:lang w:val="bg-BG" w:eastAsia="fr-FR"/>
              </w:rPr>
              <w:softHyphen/>
            </w:r>
            <w:r w:rsidRPr="00FC0423">
              <w:rPr>
                <w:i/>
                <w:sz w:val="22"/>
                <w:szCs w:val="22"/>
                <w:lang w:val="bg-BG" w:eastAsia="fr-FR"/>
              </w:rPr>
              <w:t>ка, използваните в този раздел определе</w:t>
            </w:r>
            <w:r w:rsidR="007D501D">
              <w:rPr>
                <w:i/>
                <w:sz w:val="22"/>
                <w:szCs w:val="22"/>
                <w:lang w:val="bg-BG" w:eastAsia="fr-FR"/>
              </w:rPr>
              <w:softHyphen/>
            </w:r>
            <w:r w:rsidRPr="00FC0423">
              <w:rPr>
                <w:i/>
                <w:sz w:val="22"/>
                <w:szCs w:val="22"/>
                <w:lang w:val="bg-BG" w:eastAsia="fr-FR"/>
              </w:rPr>
              <w:t>ния следва да се тъл</w:t>
            </w:r>
            <w:r w:rsidR="007D501D">
              <w:rPr>
                <w:i/>
                <w:sz w:val="22"/>
                <w:szCs w:val="22"/>
                <w:lang w:val="bg-BG" w:eastAsia="fr-FR"/>
              </w:rPr>
              <w:softHyphen/>
            </w:r>
            <w:r w:rsidRPr="00FC0423">
              <w:rPr>
                <w:i/>
                <w:sz w:val="22"/>
                <w:szCs w:val="22"/>
                <w:lang w:val="bg-BG" w:eastAsia="fr-FR"/>
              </w:rPr>
              <w:t>куват, както следва:</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 xml:space="preserve">„Задълбочен анализ“ </w:t>
            </w:r>
            <w:r w:rsidRPr="00FC0423">
              <w:rPr>
                <w:i/>
                <w:sz w:val="22"/>
                <w:szCs w:val="22"/>
                <w:lang w:val="bg-BG" w:eastAsia="fr-FR"/>
              </w:rPr>
              <w:t>-е операция на осъществяване на  мислено и реално разделяне и детайлизиране на процесите на съставни части, демонстриращо натрупан практически опит и теоретични познания;</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„Детайлно</w:t>
            </w:r>
            <w:r w:rsidRPr="00FC0423">
              <w:rPr>
                <w:i/>
                <w:sz w:val="22"/>
                <w:szCs w:val="22"/>
                <w:lang w:val="bg-BG" w:eastAsia="fr-FR"/>
              </w:rPr>
              <w:t>“- описанието, което освен, че съдържа отделни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EE7445" w:rsidRPr="00FC0423" w:rsidRDefault="00EE7445" w:rsidP="00934766">
            <w:pPr>
              <w:numPr>
                <w:ilvl w:val="0"/>
                <w:numId w:val="25"/>
              </w:numPr>
              <w:tabs>
                <w:tab w:val="left" w:pos="0"/>
                <w:tab w:val="left" w:pos="152"/>
              </w:tabs>
              <w:ind w:left="109" w:hanging="99"/>
              <w:contextualSpacing/>
              <w:rPr>
                <w:i/>
                <w:sz w:val="22"/>
                <w:szCs w:val="22"/>
                <w:lang w:val="bg-BG" w:eastAsia="fr-FR"/>
              </w:rPr>
            </w:pPr>
            <w:r w:rsidRPr="00FC0423">
              <w:rPr>
                <w:b/>
                <w:i/>
                <w:sz w:val="22"/>
                <w:szCs w:val="22"/>
                <w:lang w:val="bg-BG" w:eastAsia="fr-FR"/>
              </w:rPr>
              <w:t>„Алтернативни идеи“-</w:t>
            </w:r>
            <w:r w:rsidRPr="00FC0423">
              <w:rPr>
                <w:i/>
                <w:sz w:val="22"/>
                <w:szCs w:val="22"/>
                <w:lang w:val="bg-BG" w:eastAsia="fr-FR"/>
              </w:rPr>
              <w:t xml:space="preserve"> конкретни, </w:t>
            </w:r>
            <w:r w:rsidRPr="007D501D">
              <w:rPr>
                <w:b/>
                <w:i/>
                <w:sz w:val="22"/>
                <w:szCs w:val="22"/>
                <w:lang w:val="bg-BG" w:eastAsia="fr-FR"/>
              </w:rPr>
              <w:t>взаимнозаменяеми</w:t>
            </w:r>
            <w:r w:rsidRPr="00FC0423">
              <w:rPr>
                <w:i/>
                <w:sz w:val="22"/>
                <w:szCs w:val="22"/>
                <w:lang w:val="bg-BG" w:eastAsia="fr-FR"/>
              </w:rPr>
              <w:t xml:space="preserve"> предложения, водещи до поставените цели, съобразно предмета на поръчката, без да противоречат на нормативните изисквания и заложените технически изисквания за изпълнение.</w:t>
            </w:r>
          </w:p>
          <w:p w:rsidR="00EE7445" w:rsidRPr="007D501D" w:rsidRDefault="00EE7445" w:rsidP="00934766">
            <w:pPr>
              <w:numPr>
                <w:ilvl w:val="0"/>
                <w:numId w:val="25"/>
              </w:numPr>
              <w:tabs>
                <w:tab w:val="left" w:pos="0"/>
                <w:tab w:val="left" w:pos="152"/>
              </w:tabs>
              <w:ind w:left="109" w:hanging="99"/>
              <w:contextualSpacing/>
              <w:rPr>
                <w:color w:val="444444"/>
                <w:sz w:val="22"/>
                <w:szCs w:val="22"/>
                <w:lang w:val="bg-BG" w:eastAsia="fr-FR"/>
              </w:rPr>
            </w:pPr>
            <w:r w:rsidRPr="00FC0423">
              <w:rPr>
                <w:b/>
                <w:i/>
                <w:sz w:val="22"/>
                <w:szCs w:val="22"/>
                <w:lang w:val="bg-BG" w:eastAsia="fr-FR"/>
              </w:rPr>
              <w:t xml:space="preserve">„Пълно съответствие“ - </w:t>
            </w:r>
            <w:r w:rsidRPr="00FC0423">
              <w:rPr>
                <w:i/>
                <w:sz w:val="22"/>
                <w:szCs w:val="22"/>
                <w:lang w:val="bg-BG" w:eastAsia="fr-FR"/>
              </w:rPr>
              <w:t xml:space="preserve">налице е по отношение на техническо предложение, което освен че изпълнява всички изисквания на </w:t>
            </w:r>
            <w:r w:rsidRPr="007D501D">
              <w:rPr>
                <w:b/>
                <w:i/>
                <w:sz w:val="22"/>
                <w:szCs w:val="22"/>
                <w:lang w:val="bg-BG" w:eastAsia="fr-FR"/>
              </w:rPr>
              <w:t>възложителя</w:t>
            </w:r>
            <w:r w:rsidRPr="00FC0423">
              <w:rPr>
                <w:i/>
                <w:sz w:val="22"/>
                <w:szCs w:val="22"/>
                <w:lang w:val="bg-BG" w:eastAsia="fr-FR"/>
              </w:rPr>
              <w:t xml:space="preserve"> и нормативните такива, за него е в сила и липса на каквито и да е вътрешни противоречия между описаната технологична, логическа и смислова последователност на описаните дейности и/или ресурси и/или отговорности в рамките на изпълнението.  </w:t>
            </w:r>
          </w:p>
        </w:tc>
        <w:tc>
          <w:tcPr>
            <w:tcW w:w="5771" w:type="dxa"/>
            <w:shd w:val="clear" w:color="auto" w:fill="auto"/>
          </w:tcPr>
          <w:p w:rsidR="00EE7445" w:rsidRPr="00FC0423" w:rsidRDefault="00EE7445" w:rsidP="00A54533">
            <w:pPr>
              <w:spacing w:line="276" w:lineRule="auto"/>
              <w:ind w:right="141"/>
              <w:jc w:val="both"/>
              <w:rPr>
                <w:b/>
                <w:color w:val="000000"/>
                <w:sz w:val="22"/>
                <w:szCs w:val="22"/>
                <w:lang w:val="bg-BG" w:eastAsia="fr-FR"/>
              </w:rPr>
            </w:pPr>
            <w:r w:rsidRPr="00FC0423">
              <w:rPr>
                <w:b/>
                <w:color w:val="000000"/>
                <w:sz w:val="22"/>
                <w:szCs w:val="22"/>
                <w:lang w:val="bg-BG" w:eastAsia="fr-FR"/>
              </w:rPr>
              <w:t>Присъждат се на оферта, в която кумулативно е налице следното:</w:t>
            </w:r>
          </w:p>
          <w:p w:rsidR="00EE7445" w:rsidRPr="00FC0423" w:rsidRDefault="00EE7445" w:rsidP="00934766">
            <w:pPr>
              <w:widowControl w:val="0"/>
              <w:numPr>
                <w:ilvl w:val="0"/>
                <w:numId w:val="22"/>
              </w:numPr>
              <w:tabs>
                <w:tab w:val="left" w:pos="283"/>
              </w:tabs>
              <w:spacing w:after="200" w:line="276" w:lineRule="auto"/>
              <w:ind w:right="141"/>
              <w:jc w:val="both"/>
              <w:rPr>
                <w:spacing w:val="-10"/>
                <w:sz w:val="22"/>
                <w:szCs w:val="22"/>
                <w:lang w:val="bg-BG"/>
              </w:rPr>
            </w:pPr>
            <w:r w:rsidRPr="00FC0423">
              <w:rPr>
                <w:color w:val="000000"/>
                <w:spacing w:val="-10"/>
                <w:sz w:val="22"/>
                <w:szCs w:val="22"/>
                <w:lang w:val="bg-BG"/>
              </w:rPr>
              <w:t>направен е задълбочен анализ на всички поставени от възложителя основни цели и очаквани резултати и са предложени детайлно разработени конкретни идеи за реализиране на дейностите, предмет на поръчката, включително и алтернативни такива, представени са аргументи как предложените мерки и организация на работа гарантират качествено и в срок изпълнение на поръчката;</w:t>
            </w:r>
          </w:p>
          <w:p w:rsidR="00EE7445" w:rsidRPr="007D501D" w:rsidRDefault="00EE7445" w:rsidP="00934766">
            <w:pPr>
              <w:widowControl w:val="0"/>
              <w:numPr>
                <w:ilvl w:val="0"/>
                <w:numId w:val="22"/>
              </w:numPr>
              <w:tabs>
                <w:tab w:val="left" w:pos="336"/>
              </w:tabs>
              <w:spacing w:after="200" w:line="276" w:lineRule="auto"/>
              <w:ind w:right="141"/>
              <w:jc w:val="both"/>
              <w:rPr>
                <w:spacing w:val="-10"/>
                <w:sz w:val="22"/>
                <w:szCs w:val="22"/>
                <w:lang w:val="bg-BG"/>
              </w:rPr>
            </w:pPr>
            <w:r w:rsidRPr="00FC0423">
              <w:rPr>
                <w:color w:val="000000"/>
                <w:spacing w:val="-10"/>
                <w:sz w:val="22"/>
                <w:szCs w:val="22"/>
                <w:lang w:val="bg-BG"/>
              </w:rPr>
              <w:t>съдържа цялостната методология за изпълнение на направените предложения, описани са средствата за постигане на всеки от посочените резултати, предложена е организация на работа, съобразена със сложността на съответната дейност и очакван резултат, разгледани са всички процеси, като са отчетени и връзките между тях;</w:t>
            </w:r>
          </w:p>
        </w:tc>
        <w:tc>
          <w:tcPr>
            <w:tcW w:w="1004" w:type="dxa"/>
            <w:shd w:val="clear" w:color="auto" w:fill="auto"/>
          </w:tcPr>
          <w:p w:rsidR="00EE7445" w:rsidRPr="00FC0423" w:rsidRDefault="00EE7445" w:rsidP="00A54533">
            <w:pPr>
              <w:spacing w:line="360" w:lineRule="auto"/>
              <w:ind w:right="141"/>
              <w:jc w:val="both"/>
              <w:rPr>
                <w:b/>
                <w:sz w:val="22"/>
                <w:szCs w:val="22"/>
                <w:lang w:val="bg-BG" w:eastAsia="fr-FR"/>
              </w:rPr>
            </w:pPr>
            <w:r w:rsidRPr="00FC0423">
              <w:rPr>
                <w:b/>
                <w:sz w:val="22"/>
                <w:szCs w:val="22"/>
                <w:lang w:val="bg-BG" w:eastAsia="fr-FR"/>
              </w:rPr>
              <w:t>100</w:t>
            </w:r>
          </w:p>
        </w:tc>
      </w:tr>
      <w:tr w:rsidR="00EE7445" w:rsidRPr="00FC0423" w:rsidTr="00505A52">
        <w:tc>
          <w:tcPr>
            <w:tcW w:w="557" w:type="dxa"/>
            <w:vMerge/>
          </w:tcPr>
          <w:p w:rsidR="00EE7445" w:rsidRPr="00FC0423" w:rsidRDefault="00EE7445" w:rsidP="00A54533">
            <w:pPr>
              <w:spacing w:line="360" w:lineRule="auto"/>
              <w:ind w:right="141"/>
              <w:jc w:val="both"/>
              <w:rPr>
                <w:sz w:val="22"/>
                <w:szCs w:val="22"/>
                <w:lang w:val="bg-BG" w:eastAsia="fr-FR"/>
              </w:rPr>
            </w:pPr>
          </w:p>
        </w:tc>
        <w:tc>
          <w:tcPr>
            <w:tcW w:w="2316" w:type="dxa"/>
            <w:vMerge/>
          </w:tcPr>
          <w:p w:rsidR="00EE7445" w:rsidRPr="00FC0423" w:rsidRDefault="00EE7445" w:rsidP="00FF651B">
            <w:pPr>
              <w:ind w:right="141"/>
              <w:jc w:val="both"/>
              <w:rPr>
                <w:sz w:val="22"/>
                <w:szCs w:val="22"/>
                <w:lang w:val="bg-BG" w:eastAsia="fr-FR"/>
              </w:rPr>
            </w:pPr>
          </w:p>
        </w:tc>
        <w:tc>
          <w:tcPr>
            <w:tcW w:w="5771" w:type="dxa"/>
            <w:shd w:val="clear" w:color="auto" w:fill="auto"/>
          </w:tcPr>
          <w:p w:rsidR="00EE7445" w:rsidRPr="00FC0423" w:rsidRDefault="00EE7445" w:rsidP="00A54533">
            <w:pPr>
              <w:spacing w:line="276" w:lineRule="auto"/>
              <w:ind w:right="141"/>
              <w:jc w:val="both"/>
              <w:rPr>
                <w:b/>
                <w:sz w:val="22"/>
                <w:szCs w:val="22"/>
                <w:lang w:val="bg-BG" w:eastAsia="fr-FR"/>
              </w:rPr>
            </w:pPr>
            <w:r w:rsidRPr="00FC0423">
              <w:rPr>
                <w:b/>
                <w:color w:val="000000"/>
                <w:sz w:val="22"/>
                <w:szCs w:val="22"/>
                <w:lang w:val="bg-BG" w:eastAsia="fr-FR"/>
              </w:rPr>
              <w:t>Присъждат се на оферта, в която е налице някое от следните обстоятелства:</w:t>
            </w:r>
          </w:p>
          <w:p w:rsidR="00EE7445" w:rsidRPr="00FC0423" w:rsidRDefault="00EE7445" w:rsidP="00A54533">
            <w:pPr>
              <w:widowControl w:val="0"/>
              <w:spacing w:line="276" w:lineRule="auto"/>
              <w:ind w:right="141"/>
              <w:jc w:val="both"/>
              <w:rPr>
                <w:spacing w:val="-10"/>
                <w:sz w:val="22"/>
                <w:szCs w:val="22"/>
                <w:lang w:val="bg-BG"/>
              </w:rPr>
            </w:pPr>
            <w:r w:rsidRPr="00FC0423">
              <w:rPr>
                <w:spacing w:val="-10"/>
                <w:sz w:val="22"/>
                <w:szCs w:val="22"/>
                <w:shd w:val="clear" w:color="auto" w:fill="FFFFFF"/>
                <w:lang w:val="bg-BG"/>
              </w:rPr>
              <w:t xml:space="preserve">- е направен анализ на всички поставени от възложителя основни </w:t>
            </w:r>
            <w:r w:rsidRPr="00FC0423">
              <w:rPr>
                <w:bCs/>
                <w:color w:val="000000"/>
                <w:spacing w:val="-10"/>
                <w:sz w:val="22"/>
                <w:szCs w:val="22"/>
                <w:lang w:val="bg-BG"/>
              </w:rPr>
              <w:t>цели и очаквани резултати и са предложени конкретни идеи за реализиране на дейностите, като общо са обхванати всички дейности от предмета на поръчката, представени са аргументи относно предложените мерки и организация на работа, които гарантират изпълнение на поръчката;</w:t>
            </w:r>
          </w:p>
          <w:p w:rsidR="00EE7445" w:rsidRPr="007D501D" w:rsidRDefault="00EE7445" w:rsidP="00934766">
            <w:pPr>
              <w:widowControl w:val="0"/>
              <w:numPr>
                <w:ilvl w:val="0"/>
                <w:numId w:val="23"/>
              </w:numPr>
              <w:tabs>
                <w:tab w:val="left" w:pos="163"/>
              </w:tabs>
              <w:spacing w:after="200" w:line="276" w:lineRule="auto"/>
              <w:ind w:right="141"/>
              <w:jc w:val="both"/>
              <w:rPr>
                <w:spacing w:val="-10"/>
                <w:sz w:val="22"/>
                <w:szCs w:val="22"/>
                <w:lang w:val="bg-BG"/>
              </w:rPr>
            </w:pPr>
            <w:r w:rsidRPr="00FC0423">
              <w:rPr>
                <w:bCs/>
                <w:color w:val="000000"/>
                <w:spacing w:val="-10"/>
                <w:sz w:val="22"/>
                <w:szCs w:val="22"/>
                <w:lang w:val="bg-BG"/>
              </w:rPr>
              <w:t>съдържа методология за изпълнение на направените предложения, описани са средствата за постигане на посочените резултати, като част от предложенията се позовават на общоизвестни методи, термини и технологични процеси и други, предложена е организация на работа, съобразена с очаквания резултат, разгледани са всички процеси, без да са отчетени връзките между тях;</w:t>
            </w:r>
          </w:p>
        </w:tc>
        <w:tc>
          <w:tcPr>
            <w:tcW w:w="1004" w:type="dxa"/>
            <w:shd w:val="clear" w:color="auto" w:fill="auto"/>
          </w:tcPr>
          <w:p w:rsidR="00EE7445" w:rsidRPr="00EB02A5" w:rsidRDefault="00EE7445" w:rsidP="00A54533">
            <w:pPr>
              <w:spacing w:line="360" w:lineRule="auto"/>
              <w:ind w:right="141"/>
              <w:jc w:val="both"/>
              <w:rPr>
                <w:b/>
                <w:sz w:val="22"/>
                <w:szCs w:val="22"/>
                <w:lang w:val="bg-BG" w:eastAsia="fr-FR"/>
              </w:rPr>
            </w:pPr>
            <w:r w:rsidRPr="00EB02A5">
              <w:rPr>
                <w:b/>
                <w:sz w:val="22"/>
                <w:szCs w:val="22"/>
                <w:lang w:val="bg-BG" w:eastAsia="fr-FR"/>
              </w:rPr>
              <w:t>50</w:t>
            </w:r>
          </w:p>
        </w:tc>
      </w:tr>
      <w:tr w:rsidR="00EE7445" w:rsidRPr="00FC0423" w:rsidTr="00505A52">
        <w:tc>
          <w:tcPr>
            <w:tcW w:w="557" w:type="dxa"/>
            <w:vMerge/>
          </w:tcPr>
          <w:p w:rsidR="00EE7445" w:rsidRPr="00FC0423" w:rsidRDefault="00EE7445" w:rsidP="00A54533">
            <w:pPr>
              <w:spacing w:line="360" w:lineRule="auto"/>
              <w:ind w:right="141"/>
              <w:jc w:val="both"/>
              <w:rPr>
                <w:sz w:val="22"/>
                <w:szCs w:val="22"/>
                <w:lang w:val="bg-BG" w:eastAsia="fr-FR"/>
              </w:rPr>
            </w:pPr>
          </w:p>
        </w:tc>
        <w:tc>
          <w:tcPr>
            <w:tcW w:w="2316" w:type="dxa"/>
            <w:vMerge/>
          </w:tcPr>
          <w:p w:rsidR="00EE7445" w:rsidRPr="00FC0423" w:rsidRDefault="00EE7445" w:rsidP="00FF651B">
            <w:pPr>
              <w:ind w:right="141"/>
              <w:jc w:val="both"/>
              <w:rPr>
                <w:sz w:val="22"/>
                <w:szCs w:val="22"/>
                <w:lang w:val="bg-BG" w:eastAsia="fr-FR"/>
              </w:rPr>
            </w:pPr>
          </w:p>
        </w:tc>
        <w:tc>
          <w:tcPr>
            <w:tcW w:w="5771" w:type="dxa"/>
            <w:shd w:val="clear" w:color="auto" w:fill="auto"/>
          </w:tcPr>
          <w:p w:rsidR="00EE7445" w:rsidRPr="00FC0423" w:rsidRDefault="00EE7445" w:rsidP="00A54533">
            <w:pPr>
              <w:spacing w:line="276" w:lineRule="auto"/>
              <w:ind w:right="141"/>
              <w:jc w:val="both"/>
              <w:rPr>
                <w:b/>
                <w:sz w:val="22"/>
                <w:szCs w:val="22"/>
                <w:lang w:val="bg-BG" w:eastAsia="fr-FR"/>
              </w:rPr>
            </w:pPr>
            <w:r w:rsidRPr="00FC0423">
              <w:rPr>
                <w:b/>
                <w:color w:val="000000"/>
                <w:sz w:val="22"/>
                <w:szCs w:val="22"/>
                <w:lang w:val="bg-BG" w:eastAsia="fr-FR"/>
              </w:rPr>
              <w:t>Присъждат се на оферта, в която е налице някое от следните обстоятелства:</w:t>
            </w:r>
          </w:p>
          <w:p w:rsidR="00EE7445" w:rsidRPr="00FC0423" w:rsidRDefault="00EE7445" w:rsidP="00934766">
            <w:pPr>
              <w:widowControl w:val="0"/>
              <w:numPr>
                <w:ilvl w:val="0"/>
                <w:numId w:val="24"/>
              </w:numPr>
              <w:tabs>
                <w:tab w:val="left" w:pos="192"/>
              </w:tabs>
              <w:spacing w:after="200" w:line="276" w:lineRule="auto"/>
              <w:ind w:right="141"/>
              <w:jc w:val="both"/>
              <w:rPr>
                <w:b/>
                <w:spacing w:val="-10"/>
                <w:sz w:val="22"/>
                <w:szCs w:val="22"/>
                <w:lang w:val="bg-BG"/>
              </w:rPr>
            </w:pPr>
            <w:r w:rsidRPr="00FC0423">
              <w:rPr>
                <w:bCs/>
                <w:color w:val="000000"/>
                <w:spacing w:val="-10"/>
                <w:sz w:val="22"/>
                <w:szCs w:val="22"/>
                <w:lang w:val="bg-BG"/>
              </w:rPr>
              <w:t>е направен анализ на всички поставени от възложителя основни цели и очаквани резултати и са направени общи предложения за реализиране на дейностите, предмета на поръчката, които са общи и бланкетни, чрез позоваване на общоизвестни методи, факти и/или обстоятелства, без същите да са посочени като поредица от взаимосвързани конкретни действия, преповтарят техническата спецификация, съдържа общ ангажимент, че е създадена организация за изпълнение на поръчката;</w:t>
            </w:r>
          </w:p>
          <w:p w:rsidR="00EE7445" w:rsidRPr="00FC0423" w:rsidRDefault="00EE7445" w:rsidP="00934766">
            <w:pPr>
              <w:widowControl w:val="0"/>
              <w:numPr>
                <w:ilvl w:val="0"/>
                <w:numId w:val="24"/>
              </w:numPr>
              <w:tabs>
                <w:tab w:val="left" w:pos="178"/>
              </w:tabs>
              <w:spacing w:after="200" w:line="276" w:lineRule="auto"/>
              <w:ind w:right="141"/>
              <w:jc w:val="both"/>
              <w:rPr>
                <w:b/>
                <w:spacing w:val="-10"/>
                <w:sz w:val="22"/>
                <w:szCs w:val="22"/>
                <w:lang w:val="bg-BG"/>
              </w:rPr>
            </w:pPr>
            <w:r w:rsidRPr="00FC0423">
              <w:rPr>
                <w:bCs/>
                <w:color w:val="000000"/>
                <w:spacing w:val="-10"/>
                <w:sz w:val="22"/>
                <w:szCs w:val="22"/>
                <w:lang w:val="bg-BG"/>
              </w:rPr>
              <w:t>съдържа изложение на методологията за осъществяване предмета на поръчката, но липсва описание на някои процеси към съответните дейности и/или използвани средства за постигане на посочените в Техническата спецификация резултати или не съдържа детайлно описана концепция за организация на работната сила за качествено и в срок изпълнение на договора или същата съдържа общо позоваване на действия, без същите да са обвързани с конкретни действия от страна на екипа експерти.</w:t>
            </w:r>
          </w:p>
          <w:p w:rsidR="00EE7445" w:rsidRPr="00FC0423" w:rsidRDefault="00EE7445" w:rsidP="00A54533">
            <w:pPr>
              <w:spacing w:line="276" w:lineRule="auto"/>
              <w:ind w:right="141"/>
              <w:jc w:val="both"/>
              <w:rPr>
                <w:sz w:val="22"/>
                <w:szCs w:val="22"/>
                <w:lang w:val="bg-BG" w:eastAsia="fr-FR"/>
              </w:rPr>
            </w:pPr>
          </w:p>
        </w:tc>
        <w:tc>
          <w:tcPr>
            <w:tcW w:w="1004" w:type="dxa"/>
            <w:shd w:val="clear" w:color="auto" w:fill="auto"/>
          </w:tcPr>
          <w:p w:rsidR="00EE7445" w:rsidRPr="00FC0423" w:rsidRDefault="00EE7445" w:rsidP="00A54533">
            <w:pPr>
              <w:spacing w:line="360" w:lineRule="auto"/>
              <w:ind w:right="141"/>
              <w:jc w:val="both"/>
              <w:rPr>
                <w:b/>
                <w:sz w:val="22"/>
                <w:szCs w:val="22"/>
                <w:lang w:val="bg-BG" w:eastAsia="fr-FR"/>
              </w:rPr>
            </w:pPr>
            <w:r w:rsidRPr="00FC0423">
              <w:rPr>
                <w:b/>
                <w:sz w:val="22"/>
                <w:szCs w:val="22"/>
                <w:lang w:val="bg-BG" w:eastAsia="fr-FR"/>
              </w:rPr>
              <w:t>10</w:t>
            </w:r>
          </w:p>
        </w:tc>
      </w:tr>
    </w:tbl>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Pr="00BC7C3F" w:rsidRDefault="00EE7445" w:rsidP="00EE7445">
      <w:pPr>
        <w:autoSpaceDE w:val="0"/>
        <w:autoSpaceDN w:val="0"/>
        <w:adjustRightInd w:val="0"/>
        <w:spacing w:line="276" w:lineRule="auto"/>
        <w:ind w:right="-567" w:firstLine="708"/>
        <w:jc w:val="both"/>
        <w:rPr>
          <w:b/>
          <w:u w:val="single"/>
          <w:lang w:val="bg-BG" w:eastAsia="fr-FR"/>
        </w:rPr>
      </w:pPr>
      <w:r w:rsidRPr="00BC7C3F">
        <w:rPr>
          <w:b/>
          <w:u w:val="single"/>
          <w:lang w:val="bg-BG" w:eastAsia="fr-FR"/>
        </w:rPr>
        <w:t>3. Оценка на ценовото предложение</w:t>
      </w:r>
    </w:p>
    <w:p w:rsidR="00EE7445" w:rsidRPr="00B372AB" w:rsidRDefault="00EE7445" w:rsidP="00EE7445">
      <w:pPr>
        <w:spacing w:line="276" w:lineRule="auto"/>
        <w:ind w:right="-567" w:firstLine="708"/>
        <w:jc w:val="both"/>
        <w:rPr>
          <w:lang w:val="bg-BG" w:eastAsia="fr-FR"/>
        </w:rPr>
      </w:pPr>
      <w:r w:rsidRPr="00B372AB">
        <w:rPr>
          <w:lang w:val="bg-BG" w:eastAsia="fr-FR"/>
        </w:rPr>
        <w:t xml:space="preserve">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w:t>
      </w:r>
      <w:r>
        <w:rPr>
          <w:lang w:val="bg-BG" w:eastAsia="fr-FR"/>
        </w:rPr>
        <w:t>Възложителя</w:t>
      </w:r>
      <w:r w:rsidRPr="00B372AB">
        <w:rPr>
          <w:lang w:val="bg-BG" w:eastAsia="fr-FR"/>
        </w:rPr>
        <w:t>.</w:t>
      </w:r>
    </w:p>
    <w:p w:rsidR="00EE7445" w:rsidRPr="00B372AB" w:rsidRDefault="00EE7445" w:rsidP="00EE7445">
      <w:pPr>
        <w:autoSpaceDE w:val="0"/>
        <w:autoSpaceDN w:val="0"/>
        <w:adjustRightInd w:val="0"/>
        <w:spacing w:line="276" w:lineRule="auto"/>
        <w:ind w:right="-567" w:firstLine="708"/>
        <w:jc w:val="both"/>
        <w:rPr>
          <w:lang w:val="bg-BG" w:eastAsia="fr-FR"/>
        </w:rPr>
      </w:pPr>
      <w:r w:rsidRPr="00B372AB">
        <w:rPr>
          <w:lang w:val="bg-BG" w:eastAsia="fr-FR"/>
        </w:rPr>
        <w:t xml:space="preserve">Най–ниското ценово предложение получава максимален брой точки, а именно </w:t>
      </w:r>
      <w:r w:rsidRPr="00B372AB">
        <w:rPr>
          <w:b/>
          <w:lang w:val="bg-BG" w:eastAsia="fr-FR"/>
        </w:rPr>
        <w:t>100 точки.</w:t>
      </w:r>
      <w:r w:rsidRPr="00B372AB">
        <w:rPr>
          <w:lang w:val="bg-BG" w:eastAsia="fr-FR"/>
        </w:rPr>
        <w:t xml:space="preserve"> Точките на всяко едно от останалите ценови предложения се изчисляват поотделно по следната формула:</w:t>
      </w:r>
    </w:p>
    <w:p w:rsidR="00EE7445" w:rsidRPr="00B372AB" w:rsidRDefault="00EE7445" w:rsidP="00EE7445">
      <w:pPr>
        <w:spacing w:line="276" w:lineRule="auto"/>
        <w:ind w:right="-567"/>
        <w:jc w:val="center"/>
        <w:rPr>
          <w:b/>
          <w:lang w:val="bg-BG" w:eastAsia="fr-FR"/>
        </w:rPr>
      </w:pPr>
      <w:r w:rsidRPr="00B372AB">
        <w:rPr>
          <w:b/>
          <w:lang w:val="bg-BG" w:eastAsia="fr-FR"/>
        </w:rPr>
        <w:t>Фп = (Цмин * 100) / Ц</w:t>
      </w:r>
    </w:p>
    <w:p w:rsidR="00EE7445" w:rsidRPr="00B372AB" w:rsidRDefault="00EE7445" w:rsidP="00EE7445">
      <w:pPr>
        <w:spacing w:line="276" w:lineRule="auto"/>
        <w:ind w:right="-567" w:firstLine="708"/>
        <w:jc w:val="both"/>
        <w:rPr>
          <w:lang w:val="bg-BG" w:eastAsia="fr-FR"/>
        </w:rPr>
      </w:pPr>
      <w:r w:rsidRPr="00B372AB">
        <w:rPr>
          <w:lang w:val="bg-BG" w:eastAsia="fr-FR"/>
        </w:rPr>
        <w:t xml:space="preserve">Където: </w:t>
      </w:r>
    </w:p>
    <w:p w:rsidR="00EE7445" w:rsidRPr="00B372AB" w:rsidRDefault="00EE7445" w:rsidP="00EE7445">
      <w:pPr>
        <w:spacing w:line="276" w:lineRule="auto"/>
        <w:ind w:right="-567" w:firstLine="708"/>
        <w:rPr>
          <w:lang w:val="bg-BG" w:eastAsia="fr-FR"/>
        </w:rPr>
      </w:pPr>
      <w:r w:rsidRPr="00B372AB">
        <w:rPr>
          <w:b/>
          <w:lang w:val="bg-BG" w:eastAsia="fr-FR"/>
        </w:rPr>
        <w:t>Фп</w:t>
      </w:r>
      <w:r w:rsidRPr="00B372AB">
        <w:rPr>
          <w:lang w:val="bg-BG" w:eastAsia="fr-FR"/>
        </w:rPr>
        <w:t xml:space="preserve"> е точковата оценка на финансовото предложение;</w:t>
      </w:r>
    </w:p>
    <w:p w:rsidR="00EE7445" w:rsidRPr="00B372AB" w:rsidRDefault="00EE7445" w:rsidP="00EE7445">
      <w:pPr>
        <w:spacing w:line="276" w:lineRule="auto"/>
        <w:ind w:right="-567" w:firstLine="708"/>
        <w:rPr>
          <w:lang w:val="bg-BG" w:eastAsia="fr-FR"/>
        </w:rPr>
      </w:pPr>
      <w:r w:rsidRPr="00B372AB">
        <w:rPr>
          <w:b/>
          <w:lang w:val="bg-BG" w:eastAsia="fr-FR"/>
        </w:rPr>
        <w:t>Цмин</w:t>
      </w:r>
      <w:r w:rsidRPr="00B372AB">
        <w:rPr>
          <w:lang w:val="bg-BG" w:eastAsia="fr-FR"/>
        </w:rPr>
        <w:t xml:space="preserve"> е стойност на най–ниското ценово предложение (без ДДС);</w:t>
      </w:r>
    </w:p>
    <w:p w:rsidR="00EE7445" w:rsidRPr="00B372AB" w:rsidRDefault="00EE7445" w:rsidP="00EE7445">
      <w:pPr>
        <w:spacing w:line="276" w:lineRule="auto"/>
        <w:ind w:right="-567" w:firstLine="708"/>
        <w:rPr>
          <w:lang w:val="bg-BG" w:eastAsia="fr-FR"/>
        </w:rPr>
      </w:pPr>
      <w:r w:rsidRPr="00B372AB">
        <w:rPr>
          <w:b/>
          <w:lang w:val="bg-BG" w:eastAsia="fr-FR"/>
        </w:rPr>
        <w:t>Ц</w:t>
      </w:r>
      <w:r w:rsidRPr="00B372AB">
        <w:rPr>
          <w:lang w:val="bg-BG" w:eastAsia="fr-FR"/>
        </w:rPr>
        <w:t xml:space="preserve"> е стойност на оценяваното ценово предложение (без ДДС).</w:t>
      </w:r>
    </w:p>
    <w:p w:rsidR="00EE7445" w:rsidRPr="00B372AB" w:rsidRDefault="00EE7445" w:rsidP="00EE7445">
      <w:pPr>
        <w:spacing w:line="276" w:lineRule="auto"/>
        <w:ind w:right="-567"/>
        <w:rPr>
          <w:lang w:val="bg-BG" w:eastAsia="fr-FR"/>
        </w:rPr>
      </w:pPr>
    </w:p>
    <w:p w:rsidR="00EE7445" w:rsidRPr="00B372AB" w:rsidRDefault="00EE7445" w:rsidP="00EE7445">
      <w:pPr>
        <w:autoSpaceDE w:val="0"/>
        <w:autoSpaceDN w:val="0"/>
        <w:adjustRightInd w:val="0"/>
        <w:spacing w:after="200" w:line="276" w:lineRule="auto"/>
        <w:ind w:left="720" w:right="-567"/>
        <w:jc w:val="both"/>
        <w:rPr>
          <w:b/>
          <w:lang w:val="bg-BG" w:eastAsia="fr-FR"/>
        </w:rPr>
      </w:pPr>
      <w:r>
        <w:rPr>
          <w:b/>
          <w:lang w:val="bg-BG" w:eastAsia="fr-FR"/>
        </w:rPr>
        <w:t xml:space="preserve">* </w:t>
      </w:r>
      <w:r w:rsidRPr="00B372AB">
        <w:rPr>
          <w:b/>
          <w:lang w:val="bg-BG" w:eastAsia="fr-FR"/>
        </w:rPr>
        <w:t>Обща оценка на предложението и крайно класиране на кандидатите</w:t>
      </w:r>
    </w:p>
    <w:p w:rsidR="00EE7445" w:rsidRPr="00B372AB" w:rsidRDefault="00EE7445" w:rsidP="00CC0CC7">
      <w:pPr>
        <w:spacing w:line="276" w:lineRule="auto"/>
        <w:ind w:left="567" w:right="-567"/>
        <w:rPr>
          <w:lang w:val="bg-BG" w:eastAsia="fr-FR"/>
        </w:rPr>
      </w:pPr>
      <w:r w:rsidRPr="00B372AB">
        <w:rPr>
          <w:lang w:val="bg-BG" w:eastAsia="fr-FR"/>
        </w:rPr>
        <w:t>Общата оценка се установява по следната формула:</w:t>
      </w:r>
    </w:p>
    <w:p w:rsidR="00EE7445" w:rsidRPr="00B372AB" w:rsidRDefault="00EE7445" w:rsidP="00CC0CC7">
      <w:pPr>
        <w:spacing w:line="276" w:lineRule="auto"/>
        <w:ind w:left="567" w:right="-567"/>
        <w:rPr>
          <w:b/>
          <w:i/>
          <w:lang w:val="bg-BG" w:eastAsia="fr-FR"/>
        </w:rPr>
      </w:pPr>
      <w:r w:rsidRPr="00B372AB">
        <w:rPr>
          <w:b/>
          <w:lang w:val="bg-BG" w:eastAsia="fr-FR"/>
        </w:rPr>
        <w:t xml:space="preserve">ОЦп = Сп х 0.1 + Тп х 0.5 + Фп х 0.4, </w:t>
      </w:r>
      <w:r w:rsidRPr="00B372AB">
        <w:rPr>
          <w:lang w:val="bg-BG" w:eastAsia="fr-FR"/>
        </w:rPr>
        <w:t>където:</w:t>
      </w:r>
    </w:p>
    <w:p w:rsidR="00EE7445" w:rsidRDefault="00EE7445" w:rsidP="00EE7445">
      <w:pPr>
        <w:spacing w:line="276" w:lineRule="auto"/>
        <w:ind w:right="-567" w:firstLine="708"/>
        <w:rPr>
          <w:b/>
          <w:lang w:val="bg-BG" w:eastAsia="fr-FR"/>
        </w:rPr>
      </w:pPr>
    </w:p>
    <w:p w:rsidR="00EE7445" w:rsidRPr="00151AF2" w:rsidRDefault="00EE7445" w:rsidP="00EE7445">
      <w:pPr>
        <w:spacing w:line="276" w:lineRule="auto"/>
        <w:ind w:right="-567" w:firstLine="708"/>
        <w:rPr>
          <w:lang w:val="ru-RU" w:eastAsia="fr-FR"/>
        </w:rPr>
      </w:pPr>
      <w:r w:rsidRPr="00B372AB">
        <w:rPr>
          <w:b/>
          <w:lang w:val="bg-BG" w:eastAsia="fr-FR"/>
        </w:rPr>
        <w:t xml:space="preserve">ОЦп </w:t>
      </w:r>
      <w:r w:rsidRPr="00B372AB">
        <w:rPr>
          <w:lang w:val="bg-BG" w:eastAsia="fr-FR"/>
        </w:rPr>
        <w:t>е комбинираната оценка на техническото и финансово предложение</w:t>
      </w:r>
      <w:r>
        <w:rPr>
          <w:lang w:val="bg-BG" w:eastAsia="fr-FR"/>
        </w:rPr>
        <w:t>;</w:t>
      </w:r>
    </w:p>
    <w:p w:rsidR="00EE7445" w:rsidRPr="00151AF2" w:rsidRDefault="00EE7445" w:rsidP="00EE7445">
      <w:pPr>
        <w:spacing w:line="276" w:lineRule="auto"/>
        <w:ind w:right="-567" w:firstLine="708"/>
        <w:rPr>
          <w:lang w:val="ru-RU" w:eastAsia="fr-FR"/>
        </w:rPr>
      </w:pPr>
      <w:r w:rsidRPr="00B372AB">
        <w:rPr>
          <w:b/>
          <w:lang w:val="bg-BG" w:eastAsia="fr-FR"/>
        </w:rPr>
        <w:t xml:space="preserve">Сп </w:t>
      </w:r>
      <w:r w:rsidRPr="00B372AB">
        <w:rPr>
          <w:lang w:val="bg-BG" w:eastAsia="fr-FR"/>
        </w:rPr>
        <w:t>е точковата оценка на предложения срок за изпълнение</w:t>
      </w:r>
      <w:r>
        <w:rPr>
          <w:lang w:val="bg-BG" w:eastAsia="fr-FR"/>
        </w:rPr>
        <w:t>;</w:t>
      </w:r>
    </w:p>
    <w:p w:rsidR="00EE7445" w:rsidRPr="00B372AB" w:rsidRDefault="00EE7445" w:rsidP="00EE7445">
      <w:pPr>
        <w:spacing w:line="276" w:lineRule="auto"/>
        <w:ind w:right="-567" w:firstLine="708"/>
        <w:rPr>
          <w:lang w:val="bg-BG" w:eastAsia="fr-FR"/>
        </w:rPr>
      </w:pPr>
      <w:r w:rsidRPr="00B372AB">
        <w:rPr>
          <w:b/>
          <w:lang w:val="bg-BG" w:eastAsia="fr-FR"/>
        </w:rPr>
        <w:t>Тп</w:t>
      </w:r>
      <w:r w:rsidRPr="00B372AB">
        <w:rPr>
          <w:lang w:val="bg-BG" w:eastAsia="fr-FR"/>
        </w:rPr>
        <w:t xml:space="preserve"> е точковата оценка на техническото предложение</w:t>
      </w:r>
      <w:r>
        <w:rPr>
          <w:lang w:val="bg-BG" w:eastAsia="fr-FR"/>
        </w:rPr>
        <w:t>;</w:t>
      </w:r>
    </w:p>
    <w:p w:rsidR="00EE7445" w:rsidRPr="00B372AB" w:rsidRDefault="00EE7445" w:rsidP="00EE7445">
      <w:pPr>
        <w:spacing w:line="276" w:lineRule="auto"/>
        <w:ind w:right="-567" w:firstLine="708"/>
        <w:rPr>
          <w:lang w:val="bg-BG" w:eastAsia="fr-FR"/>
        </w:rPr>
      </w:pPr>
      <w:r w:rsidRPr="00B372AB">
        <w:rPr>
          <w:b/>
          <w:lang w:val="bg-BG" w:eastAsia="fr-FR"/>
        </w:rPr>
        <w:t>Фп</w:t>
      </w:r>
      <w:r w:rsidRPr="00B372AB">
        <w:rPr>
          <w:lang w:val="bg-BG" w:eastAsia="fr-FR"/>
        </w:rPr>
        <w:t xml:space="preserve"> е точковата оценка на финансовото предложение</w:t>
      </w:r>
      <w:r>
        <w:rPr>
          <w:lang w:val="bg-BG" w:eastAsia="fr-FR"/>
        </w:rPr>
        <w:t>;</w:t>
      </w:r>
    </w:p>
    <w:p w:rsidR="00EE7445" w:rsidRDefault="00EE7445" w:rsidP="00EE7445">
      <w:pPr>
        <w:keepNext/>
        <w:spacing w:line="276" w:lineRule="auto"/>
        <w:ind w:right="-567" w:firstLine="708"/>
        <w:rPr>
          <w:b/>
          <w:lang w:val="bg-BG" w:eastAsia="fr-FR"/>
        </w:rPr>
      </w:pPr>
    </w:p>
    <w:p w:rsidR="00EE7445" w:rsidRPr="00B372AB" w:rsidRDefault="00EE7445" w:rsidP="00EE7445">
      <w:pPr>
        <w:keepNext/>
        <w:spacing w:line="276" w:lineRule="auto"/>
        <w:ind w:right="-567" w:firstLine="708"/>
        <w:rPr>
          <w:b/>
          <w:lang w:val="bg-BG" w:eastAsia="fr-FR"/>
        </w:rPr>
      </w:pPr>
      <w:r w:rsidRPr="00B372AB">
        <w:rPr>
          <w:b/>
          <w:lang w:val="bg-BG" w:eastAsia="fr-FR"/>
        </w:rPr>
        <w:t>0.1</w:t>
      </w:r>
      <w:r w:rsidRPr="00B372AB">
        <w:rPr>
          <w:lang w:val="bg-BG" w:eastAsia="fr-FR"/>
        </w:rPr>
        <w:t xml:space="preserve"> е тежестта на срока за изпълнение</w:t>
      </w:r>
      <w:r>
        <w:rPr>
          <w:lang w:val="bg-BG" w:eastAsia="fr-FR"/>
        </w:rPr>
        <w:t>;</w:t>
      </w:r>
    </w:p>
    <w:p w:rsidR="00EE7445" w:rsidRPr="00B372AB" w:rsidRDefault="00EE7445" w:rsidP="00EE7445">
      <w:pPr>
        <w:keepNext/>
        <w:spacing w:line="276" w:lineRule="auto"/>
        <w:ind w:right="-567" w:firstLine="708"/>
        <w:rPr>
          <w:lang w:val="bg-BG" w:eastAsia="fr-FR"/>
        </w:rPr>
      </w:pPr>
      <w:r w:rsidRPr="00B372AB">
        <w:rPr>
          <w:b/>
          <w:lang w:val="bg-BG" w:eastAsia="fr-FR"/>
        </w:rPr>
        <w:t>0.5</w:t>
      </w:r>
      <w:r w:rsidRPr="00B372AB">
        <w:rPr>
          <w:lang w:val="bg-BG" w:eastAsia="fr-FR"/>
        </w:rPr>
        <w:t xml:space="preserve"> е тежестта на техническото предложение</w:t>
      </w:r>
      <w:r>
        <w:rPr>
          <w:lang w:val="bg-BG" w:eastAsia="fr-FR"/>
        </w:rPr>
        <w:t>;</w:t>
      </w:r>
    </w:p>
    <w:p w:rsidR="00EE7445" w:rsidRPr="00B372AB" w:rsidRDefault="00EE7445" w:rsidP="00EE7445">
      <w:pPr>
        <w:keepNext/>
        <w:spacing w:line="276" w:lineRule="auto"/>
        <w:ind w:right="-567" w:firstLine="708"/>
        <w:rPr>
          <w:lang w:val="bg-BG" w:eastAsia="fr-FR"/>
        </w:rPr>
      </w:pPr>
      <w:r w:rsidRPr="00B372AB">
        <w:rPr>
          <w:b/>
          <w:lang w:val="bg-BG" w:eastAsia="fr-FR"/>
        </w:rPr>
        <w:t>0.4</w:t>
      </w:r>
      <w:r w:rsidRPr="00B372AB">
        <w:rPr>
          <w:lang w:val="bg-BG" w:eastAsia="fr-FR"/>
        </w:rPr>
        <w:t xml:space="preserve"> е тежестта на финансовото предложение</w:t>
      </w:r>
      <w:r>
        <w:rPr>
          <w:lang w:val="bg-BG" w:eastAsia="fr-FR"/>
        </w:rPr>
        <w:t>;</w:t>
      </w:r>
    </w:p>
    <w:p w:rsidR="00EE7445" w:rsidRPr="00B372AB" w:rsidRDefault="00EE7445" w:rsidP="00EE7445">
      <w:pPr>
        <w:keepNext/>
        <w:spacing w:line="276" w:lineRule="auto"/>
        <w:ind w:right="-567"/>
        <w:rPr>
          <w:lang w:val="bg-BG" w:eastAsia="fr-FR"/>
        </w:rPr>
      </w:pPr>
    </w:p>
    <w:p w:rsidR="00EE7445" w:rsidRPr="00B372AB" w:rsidRDefault="00EE7445" w:rsidP="00EE7445">
      <w:pPr>
        <w:spacing w:after="200" w:line="276" w:lineRule="auto"/>
        <w:ind w:firstLine="708"/>
        <w:jc w:val="both"/>
        <w:rPr>
          <w:rFonts w:eastAsia="Calibri"/>
          <w:b/>
          <w:lang w:val="bg-BG"/>
        </w:rPr>
      </w:pPr>
      <w:r w:rsidRPr="00B372AB">
        <w:rPr>
          <w:b/>
          <w:lang w:val="bg-BG"/>
        </w:rPr>
        <w:t xml:space="preserve">Получените оценки се сборуват за всеки участник поотделно и за Изпълнител </w:t>
      </w:r>
      <w:r>
        <w:rPr>
          <w:b/>
          <w:lang w:val="bg-BG"/>
        </w:rPr>
        <w:t>се определя участникът</w:t>
      </w:r>
      <w:r w:rsidRPr="00B372AB">
        <w:rPr>
          <w:b/>
          <w:lang w:val="bg-BG"/>
        </w:rPr>
        <w:t>, който е получил най–много точки (т.е. най–висока обща оценка).</w:t>
      </w: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sectPr w:rsidR="00EE7445"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4B" w:rsidRDefault="0012574B">
      <w:r>
        <w:separator/>
      </w:r>
    </w:p>
  </w:endnote>
  <w:endnote w:type="continuationSeparator" w:id="0">
    <w:p w:rsidR="0012574B" w:rsidRDefault="0012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6" w:rsidRPr="00684FDA" w:rsidRDefault="00CF4BD6"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880BA0"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880BA0" w:rsidRPr="00684FDA">
      <w:rPr>
        <w:sz w:val="20"/>
        <w:szCs w:val="20"/>
      </w:rPr>
      <w:fldChar w:fldCharType="separate"/>
    </w:r>
    <w:r w:rsidR="00C3089A">
      <w:rPr>
        <w:noProof/>
        <w:sz w:val="20"/>
        <w:szCs w:val="20"/>
      </w:rPr>
      <w:t>1</w:t>
    </w:r>
    <w:r w:rsidR="00880BA0" w:rsidRPr="00684FDA">
      <w:rPr>
        <w:noProof/>
        <w:sz w:val="20"/>
        <w:szCs w:val="20"/>
      </w:rPr>
      <w:fldChar w:fldCharType="end"/>
    </w:r>
  </w:p>
  <w:p w:rsidR="00CF4BD6" w:rsidRPr="00FD6EF0" w:rsidRDefault="00CF4BD6"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4B" w:rsidRDefault="0012574B">
      <w:r>
        <w:separator/>
      </w:r>
    </w:p>
  </w:footnote>
  <w:footnote w:type="continuationSeparator" w:id="0">
    <w:p w:rsidR="0012574B" w:rsidRDefault="0012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CF4BD6" w:rsidRPr="00CF4BD6">
      <w:tc>
        <w:tcPr>
          <w:tcW w:w="1620" w:type="dxa"/>
        </w:tcPr>
        <w:p w:rsidR="00CF4BD6" w:rsidRDefault="00CF4BD6">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14:anchorId="7905AA27" wp14:editId="695D8709">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CF4BD6" w:rsidRDefault="00CF4BD6">
          <w:pPr>
            <w:ind w:right="-108"/>
            <w:jc w:val="center"/>
            <w:rPr>
              <w:b/>
              <w:sz w:val="14"/>
              <w:szCs w:val="14"/>
              <w:lang w:val="ru-RU" w:eastAsia="bg-BG"/>
            </w:rPr>
          </w:pPr>
          <w:r>
            <w:rPr>
              <w:b/>
              <w:sz w:val="14"/>
              <w:szCs w:val="14"/>
              <w:lang w:val="ru-RU" w:eastAsia="bg-BG"/>
            </w:rPr>
            <w:t>ЕВРОПЕЙСКИ СЪЮЗ</w:t>
          </w:r>
        </w:p>
        <w:p w:rsidR="00CF4BD6" w:rsidRDefault="00CF4BD6">
          <w:pPr>
            <w:ind w:right="-108"/>
            <w:jc w:val="center"/>
            <w:rPr>
              <w:sz w:val="14"/>
              <w:szCs w:val="14"/>
              <w:lang w:val="ru-RU" w:eastAsia="bg-BG"/>
            </w:rPr>
          </w:pPr>
          <w:r>
            <w:rPr>
              <w:sz w:val="14"/>
              <w:szCs w:val="14"/>
              <w:lang w:val="ru-RU" w:eastAsia="bg-BG"/>
            </w:rPr>
            <w:t xml:space="preserve"> Европейски фонд </w:t>
          </w:r>
        </w:p>
        <w:p w:rsidR="00CF4BD6" w:rsidRDefault="00CF4BD6">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CF4BD6" w:rsidRDefault="00CF4BD6">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14:anchorId="441261A0" wp14:editId="10380C8C">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CF4BD6" w:rsidRPr="0009299E" w:rsidRDefault="00CF4BD6">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CF4BD6" w:rsidRDefault="0012574B">
          <w:pPr>
            <w:pStyle w:val="Default"/>
            <w:spacing w:before="40"/>
            <w:jc w:val="center"/>
            <w:rPr>
              <w:rFonts w:ascii="Arial Narrow" w:hAnsi="Arial Narrow" w:cs="Tahoma"/>
              <w:b/>
              <w:color w:val="0000FF"/>
              <w:sz w:val="22"/>
              <w:szCs w:val="22"/>
              <w:u w:val="single"/>
              <w:lang w:val="bg-BG"/>
            </w:rPr>
          </w:pPr>
          <w:hyperlink r:id="rId3" w:history="1">
            <w:r w:rsidR="00CF4BD6">
              <w:rPr>
                <w:rStyle w:val="a9"/>
                <w:rFonts w:ascii="Arial Narrow" w:hAnsi="Arial Narrow" w:cs="Tahoma"/>
                <w:b/>
                <w:sz w:val="22"/>
                <w:szCs w:val="22"/>
              </w:rPr>
              <w:t>www</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bgregio</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eu</w:t>
            </w:r>
          </w:hyperlink>
        </w:p>
        <w:p w:rsidR="00CF4BD6" w:rsidRDefault="00CF4BD6">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CF4BD6" w:rsidRPr="0009299E" w:rsidRDefault="00CF4BD6">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CF4BD6" w:rsidRDefault="00CF4BD6">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CF4BD6" w:rsidRDefault="00CF4BD6">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14:anchorId="51460D08" wp14:editId="076ED243">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CF4BD6" w:rsidRPr="00EE47BB" w:rsidRDefault="00CF4BD6"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9">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3">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4">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27">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8">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1">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3">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0">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1">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3">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45">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47">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1">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3">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4">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57">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0">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2"/>
  </w:num>
  <w:num w:numId="5">
    <w:abstractNumId w:val="24"/>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36"/>
  </w:num>
  <w:num w:numId="8">
    <w:abstractNumId w:val="5"/>
  </w:num>
  <w:num w:numId="9">
    <w:abstractNumId w:val="9"/>
  </w:num>
  <w:num w:numId="10">
    <w:abstractNumId w:val="38"/>
  </w:num>
  <w:num w:numId="11">
    <w:abstractNumId w:val="58"/>
  </w:num>
  <w:num w:numId="12">
    <w:abstractNumId w:val="29"/>
  </w:num>
  <w:num w:numId="13">
    <w:abstractNumId w:val="13"/>
  </w:num>
  <w:num w:numId="14">
    <w:abstractNumId w:val="35"/>
  </w:num>
  <w:num w:numId="15">
    <w:abstractNumId w:val="44"/>
  </w:num>
  <w:num w:numId="16">
    <w:abstractNumId w:val="11"/>
  </w:num>
  <w:num w:numId="17">
    <w:abstractNumId w:val="37"/>
  </w:num>
  <w:num w:numId="18">
    <w:abstractNumId w:val="16"/>
  </w:num>
  <w:num w:numId="19">
    <w:abstractNumId w:val="18"/>
  </w:num>
  <w:num w:numId="20">
    <w:abstractNumId w:val="27"/>
  </w:num>
  <w:num w:numId="21">
    <w:abstractNumId w:val="41"/>
  </w:num>
  <w:num w:numId="22">
    <w:abstractNumId w:val="47"/>
  </w:num>
  <w:num w:numId="23">
    <w:abstractNumId w:val="28"/>
  </w:num>
  <w:num w:numId="24">
    <w:abstractNumId w:val="20"/>
  </w:num>
  <w:num w:numId="25">
    <w:abstractNumId w:val="60"/>
  </w:num>
  <w:num w:numId="26">
    <w:abstractNumId w:val="14"/>
  </w:num>
  <w:num w:numId="27">
    <w:abstractNumId w:val="53"/>
  </w:num>
  <w:num w:numId="28">
    <w:abstractNumId w:val="45"/>
  </w:num>
  <w:num w:numId="29">
    <w:abstractNumId w:val="31"/>
  </w:num>
  <w:num w:numId="30">
    <w:abstractNumId w:val="4"/>
  </w:num>
  <w:num w:numId="31">
    <w:abstractNumId w:val="51"/>
  </w:num>
  <w:num w:numId="32">
    <w:abstractNumId w:val="49"/>
  </w:num>
  <w:num w:numId="33">
    <w:abstractNumId w:val="17"/>
  </w:num>
  <w:num w:numId="34">
    <w:abstractNumId w:val="57"/>
  </w:num>
  <w:num w:numId="35">
    <w:abstractNumId w:val="43"/>
  </w:num>
  <w:num w:numId="36">
    <w:abstractNumId w:val="54"/>
  </w:num>
  <w:num w:numId="37">
    <w:abstractNumId w:val="50"/>
  </w:num>
  <w:num w:numId="38">
    <w:abstractNumId w:val="6"/>
  </w:num>
  <w:num w:numId="39">
    <w:abstractNumId w:val="19"/>
  </w:num>
  <w:num w:numId="40">
    <w:abstractNumId w:val="8"/>
  </w:num>
  <w:num w:numId="41">
    <w:abstractNumId w:val="55"/>
  </w:num>
  <w:num w:numId="42">
    <w:abstractNumId w:val="59"/>
  </w:num>
  <w:num w:numId="43">
    <w:abstractNumId w:val="10"/>
  </w:num>
  <w:num w:numId="44">
    <w:abstractNumId w:val="25"/>
  </w:num>
  <w:num w:numId="45">
    <w:abstractNumId w:val="48"/>
  </w:num>
  <w:num w:numId="46">
    <w:abstractNumId w:val="22"/>
  </w:num>
  <w:num w:numId="47">
    <w:abstractNumId w:val="52"/>
  </w:num>
  <w:num w:numId="48">
    <w:abstractNumId w:val="7"/>
  </w:num>
  <w:num w:numId="49">
    <w:abstractNumId w:val="30"/>
  </w:num>
  <w:num w:numId="50">
    <w:abstractNumId w:val="15"/>
  </w:num>
  <w:num w:numId="51">
    <w:abstractNumId w:val="42"/>
  </w:num>
  <w:num w:numId="52">
    <w:abstractNumId w:val="56"/>
  </w:num>
  <w:num w:numId="53">
    <w:abstractNumId w:val="33"/>
  </w:num>
  <w:num w:numId="54">
    <w:abstractNumId w:val="23"/>
  </w:num>
  <w:num w:numId="55">
    <w:abstractNumId w:val="12"/>
  </w:num>
  <w:num w:numId="56">
    <w:abstractNumId w:val="34"/>
  </w:num>
  <w:num w:numId="57">
    <w:abstractNumId w:val="39"/>
  </w:num>
  <w:num w:numId="58">
    <w:abstractNumId w:val="2"/>
  </w:num>
  <w:num w:numId="59">
    <w:abstractNumId w:val="3"/>
  </w:num>
  <w:num w:numId="60">
    <w:abstractNumId w:val="40"/>
  </w:num>
  <w:num w:numId="61">
    <w:abstractNumId w:val="46"/>
  </w:num>
  <w:num w:numId="62">
    <w:abstractNumId w:val="26"/>
  </w:num>
  <w:num w:numId="63">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9C3"/>
    <w:rsid w:val="00040639"/>
    <w:rsid w:val="00040B38"/>
    <w:rsid w:val="000418B3"/>
    <w:rsid w:val="0004320A"/>
    <w:rsid w:val="00043F5B"/>
    <w:rsid w:val="0004450A"/>
    <w:rsid w:val="00045873"/>
    <w:rsid w:val="00045A6D"/>
    <w:rsid w:val="0004763C"/>
    <w:rsid w:val="00047780"/>
    <w:rsid w:val="00047898"/>
    <w:rsid w:val="00051B72"/>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748"/>
    <w:rsid w:val="001221F9"/>
    <w:rsid w:val="0012277A"/>
    <w:rsid w:val="00122874"/>
    <w:rsid w:val="00122BFF"/>
    <w:rsid w:val="001236E5"/>
    <w:rsid w:val="001249A4"/>
    <w:rsid w:val="0012574B"/>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E41"/>
    <w:rsid w:val="001A3A73"/>
    <w:rsid w:val="001A3C6C"/>
    <w:rsid w:val="001A53F2"/>
    <w:rsid w:val="001A5FDD"/>
    <w:rsid w:val="001C02E9"/>
    <w:rsid w:val="001C0AF0"/>
    <w:rsid w:val="001C1AB6"/>
    <w:rsid w:val="001C392A"/>
    <w:rsid w:val="001C3AD9"/>
    <w:rsid w:val="001C3D12"/>
    <w:rsid w:val="001C3EE2"/>
    <w:rsid w:val="001C74BF"/>
    <w:rsid w:val="001D1292"/>
    <w:rsid w:val="001D1F63"/>
    <w:rsid w:val="001D2804"/>
    <w:rsid w:val="001D5447"/>
    <w:rsid w:val="001D5AA0"/>
    <w:rsid w:val="001D5F94"/>
    <w:rsid w:val="001D77A5"/>
    <w:rsid w:val="001E06CE"/>
    <w:rsid w:val="001E07E0"/>
    <w:rsid w:val="001E72C2"/>
    <w:rsid w:val="001E7BE3"/>
    <w:rsid w:val="001F1DCA"/>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2BCB"/>
    <w:rsid w:val="00263FBA"/>
    <w:rsid w:val="0026503E"/>
    <w:rsid w:val="00266361"/>
    <w:rsid w:val="002679F6"/>
    <w:rsid w:val="00267E0E"/>
    <w:rsid w:val="0027000B"/>
    <w:rsid w:val="00270DB2"/>
    <w:rsid w:val="002725C9"/>
    <w:rsid w:val="00274242"/>
    <w:rsid w:val="00275FA7"/>
    <w:rsid w:val="0027788B"/>
    <w:rsid w:val="00277C60"/>
    <w:rsid w:val="00280FB3"/>
    <w:rsid w:val="00282BA3"/>
    <w:rsid w:val="00283083"/>
    <w:rsid w:val="0028398D"/>
    <w:rsid w:val="00285724"/>
    <w:rsid w:val="00285BC5"/>
    <w:rsid w:val="00287A83"/>
    <w:rsid w:val="00290904"/>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50702"/>
    <w:rsid w:val="0035197B"/>
    <w:rsid w:val="00353641"/>
    <w:rsid w:val="003549D1"/>
    <w:rsid w:val="00355FBA"/>
    <w:rsid w:val="0036098C"/>
    <w:rsid w:val="00360C7B"/>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1D09"/>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6B89"/>
    <w:rsid w:val="00427B58"/>
    <w:rsid w:val="00430114"/>
    <w:rsid w:val="0043024C"/>
    <w:rsid w:val="0043051B"/>
    <w:rsid w:val="00430989"/>
    <w:rsid w:val="00431A9F"/>
    <w:rsid w:val="00432CB2"/>
    <w:rsid w:val="0043326F"/>
    <w:rsid w:val="00434A73"/>
    <w:rsid w:val="00434FC3"/>
    <w:rsid w:val="00436ABD"/>
    <w:rsid w:val="00436DBC"/>
    <w:rsid w:val="004400AA"/>
    <w:rsid w:val="004408BC"/>
    <w:rsid w:val="00444D61"/>
    <w:rsid w:val="00450136"/>
    <w:rsid w:val="0045241D"/>
    <w:rsid w:val="0046253E"/>
    <w:rsid w:val="00462CA7"/>
    <w:rsid w:val="00462DBC"/>
    <w:rsid w:val="0046447B"/>
    <w:rsid w:val="00464D5C"/>
    <w:rsid w:val="00465730"/>
    <w:rsid w:val="004674CC"/>
    <w:rsid w:val="0046794B"/>
    <w:rsid w:val="00467AA2"/>
    <w:rsid w:val="00470D3F"/>
    <w:rsid w:val="004717ED"/>
    <w:rsid w:val="00473398"/>
    <w:rsid w:val="00473933"/>
    <w:rsid w:val="004740CE"/>
    <w:rsid w:val="004768AF"/>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3341"/>
    <w:rsid w:val="004C4E06"/>
    <w:rsid w:val="004D1190"/>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3A41"/>
    <w:rsid w:val="00516811"/>
    <w:rsid w:val="00516E04"/>
    <w:rsid w:val="00517B52"/>
    <w:rsid w:val="00522FA1"/>
    <w:rsid w:val="00524088"/>
    <w:rsid w:val="005261CC"/>
    <w:rsid w:val="0052714D"/>
    <w:rsid w:val="00533B73"/>
    <w:rsid w:val="00533D6A"/>
    <w:rsid w:val="00535399"/>
    <w:rsid w:val="00535655"/>
    <w:rsid w:val="00535F3B"/>
    <w:rsid w:val="00541610"/>
    <w:rsid w:val="00542734"/>
    <w:rsid w:val="005449D1"/>
    <w:rsid w:val="00550B98"/>
    <w:rsid w:val="00552063"/>
    <w:rsid w:val="005524CA"/>
    <w:rsid w:val="00553DF1"/>
    <w:rsid w:val="00557B5E"/>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904EC"/>
    <w:rsid w:val="005907BF"/>
    <w:rsid w:val="005918CB"/>
    <w:rsid w:val="0059297A"/>
    <w:rsid w:val="005941CA"/>
    <w:rsid w:val="00596296"/>
    <w:rsid w:val="00597405"/>
    <w:rsid w:val="005A2D05"/>
    <w:rsid w:val="005A4BDE"/>
    <w:rsid w:val="005A57D8"/>
    <w:rsid w:val="005A583D"/>
    <w:rsid w:val="005A5B76"/>
    <w:rsid w:val="005A7463"/>
    <w:rsid w:val="005B1AED"/>
    <w:rsid w:val="005B3CC9"/>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20AE"/>
    <w:rsid w:val="0066348F"/>
    <w:rsid w:val="00665649"/>
    <w:rsid w:val="006658AA"/>
    <w:rsid w:val="006722B0"/>
    <w:rsid w:val="00672BFA"/>
    <w:rsid w:val="00672DF0"/>
    <w:rsid w:val="006743C3"/>
    <w:rsid w:val="00675827"/>
    <w:rsid w:val="00677DB4"/>
    <w:rsid w:val="00680570"/>
    <w:rsid w:val="00680C69"/>
    <w:rsid w:val="00685AC3"/>
    <w:rsid w:val="00686AA6"/>
    <w:rsid w:val="00687256"/>
    <w:rsid w:val="00687DAA"/>
    <w:rsid w:val="00691CE0"/>
    <w:rsid w:val="00692A03"/>
    <w:rsid w:val="00693D4F"/>
    <w:rsid w:val="0069400D"/>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F1BBB"/>
    <w:rsid w:val="006F1D04"/>
    <w:rsid w:val="006F1DE9"/>
    <w:rsid w:val="006F23E7"/>
    <w:rsid w:val="006F31A6"/>
    <w:rsid w:val="006F34A4"/>
    <w:rsid w:val="006F4B38"/>
    <w:rsid w:val="00700897"/>
    <w:rsid w:val="00702E0D"/>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4CB"/>
    <w:rsid w:val="007333F5"/>
    <w:rsid w:val="0073567C"/>
    <w:rsid w:val="007357F9"/>
    <w:rsid w:val="007364F2"/>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2642"/>
    <w:rsid w:val="007654E6"/>
    <w:rsid w:val="0077103B"/>
    <w:rsid w:val="00771FEE"/>
    <w:rsid w:val="00772E4D"/>
    <w:rsid w:val="00775D2A"/>
    <w:rsid w:val="00776BEE"/>
    <w:rsid w:val="0078002E"/>
    <w:rsid w:val="0078090B"/>
    <w:rsid w:val="00780ED1"/>
    <w:rsid w:val="00782303"/>
    <w:rsid w:val="00782D11"/>
    <w:rsid w:val="007867AF"/>
    <w:rsid w:val="00791177"/>
    <w:rsid w:val="007927B6"/>
    <w:rsid w:val="007930C8"/>
    <w:rsid w:val="00795931"/>
    <w:rsid w:val="00796697"/>
    <w:rsid w:val="007972AE"/>
    <w:rsid w:val="007A3B21"/>
    <w:rsid w:val="007B04B2"/>
    <w:rsid w:val="007B1219"/>
    <w:rsid w:val="007B37F8"/>
    <w:rsid w:val="007B502A"/>
    <w:rsid w:val="007B73B6"/>
    <w:rsid w:val="007C2B3A"/>
    <w:rsid w:val="007C60B4"/>
    <w:rsid w:val="007C63BF"/>
    <w:rsid w:val="007C7A8D"/>
    <w:rsid w:val="007D05B9"/>
    <w:rsid w:val="007D501D"/>
    <w:rsid w:val="007D5F93"/>
    <w:rsid w:val="007D65D7"/>
    <w:rsid w:val="007E0C66"/>
    <w:rsid w:val="007F0592"/>
    <w:rsid w:val="007F2724"/>
    <w:rsid w:val="007F431C"/>
    <w:rsid w:val="00802227"/>
    <w:rsid w:val="00803C41"/>
    <w:rsid w:val="00804692"/>
    <w:rsid w:val="00805797"/>
    <w:rsid w:val="008068AF"/>
    <w:rsid w:val="0080739E"/>
    <w:rsid w:val="00807C22"/>
    <w:rsid w:val="00810083"/>
    <w:rsid w:val="00814071"/>
    <w:rsid w:val="008148F0"/>
    <w:rsid w:val="008157CF"/>
    <w:rsid w:val="00824987"/>
    <w:rsid w:val="0082613D"/>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0BA0"/>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D075C"/>
    <w:rsid w:val="008D1A6E"/>
    <w:rsid w:val="008D1E2D"/>
    <w:rsid w:val="008D3151"/>
    <w:rsid w:val="008D356C"/>
    <w:rsid w:val="008D39C7"/>
    <w:rsid w:val="008D4367"/>
    <w:rsid w:val="008D564B"/>
    <w:rsid w:val="008D70F6"/>
    <w:rsid w:val="008D7BC0"/>
    <w:rsid w:val="008E3368"/>
    <w:rsid w:val="008E558F"/>
    <w:rsid w:val="008E5E37"/>
    <w:rsid w:val="008E645C"/>
    <w:rsid w:val="008E6FEC"/>
    <w:rsid w:val="008E7216"/>
    <w:rsid w:val="008F0196"/>
    <w:rsid w:val="008F151A"/>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6F13"/>
    <w:rsid w:val="009A1FBF"/>
    <w:rsid w:val="009A46EB"/>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6437"/>
    <w:rsid w:val="00A27015"/>
    <w:rsid w:val="00A273DF"/>
    <w:rsid w:val="00A27CD6"/>
    <w:rsid w:val="00A303D4"/>
    <w:rsid w:val="00A30772"/>
    <w:rsid w:val="00A3240C"/>
    <w:rsid w:val="00A32DBD"/>
    <w:rsid w:val="00A34C26"/>
    <w:rsid w:val="00A356B0"/>
    <w:rsid w:val="00A43307"/>
    <w:rsid w:val="00A43C0B"/>
    <w:rsid w:val="00A45405"/>
    <w:rsid w:val="00A50ABC"/>
    <w:rsid w:val="00A514F8"/>
    <w:rsid w:val="00A539A3"/>
    <w:rsid w:val="00A54094"/>
    <w:rsid w:val="00A544CC"/>
    <w:rsid w:val="00A54533"/>
    <w:rsid w:val="00A54BB5"/>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CB0"/>
    <w:rsid w:val="00AB6FEF"/>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60C9"/>
    <w:rsid w:val="00B066BC"/>
    <w:rsid w:val="00B069FC"/>
    <w:rsid w:val="00B06A55"/>
    <w:rsid w:val="00B129C2"/>
    <w:rsid w:val="00B131E7"/>
    <w:rsid w:val="00B17640"/>
    <w:rsid w:val="00B17647"/>
    <w:rsid w:val="00B212BD"/>
    <w:rsid w:val="00B2257D"/>
    <w:rsid w:val="00B2543D"/>
    <w:rsid w:val="00B2579B"/>
    <w:rsid w:val="00B30505"/>
    <w:rsid w:val="00B34BAE"/>
    <w:rsid w:val="00B34F9B"/>
    <w:rsid w:val="00B351ED"/>
    <w:rsid w:val="00B356FE"/>
    <w:rsid w:val="00B3745A"/>
    <w:rsid w:val="00B375BC"/>
    <w:rsid w:val="00B37CA4"/>
    <w:rsid w:val="00B405E1"/>
    <w:rsid w:val="00B408C4"/>
    <w:rsid w:val="00B40B40"/>
    <w:rsid w:val="00B41574"/>
    <w:rsid w:val="00B42124"/>
    <w:rsid w:val="00B502B6"/>
    <w:rsid w:val="00B50761"/>
    <w:rsid w:val="00B53288"/>
    <w:rsid w:val="00B5376B"/>
    <w:rsid w:val="00B53EDE"/>
    <w:rsid w:val="00B62611"/>
    <w:rsid w:val="00B63CC4"/>
    <w:rsid w:val="00B64A62"/>
    <w:rsid w:val="00B67072"/>
    <w:rsid w:val="00B71F27"/>
    <w:rsid w:val="00B71F9F"/>
    <w:rsid w:val="00B75A9F"/>
    <w:rsid w:val="00B75EA2"/>
    <w:rsid w:val="00B75FDC"/>
    <w:rsid w:val="00B76CF1"/>
    <w:rsid w:val="00B83D11"/>
    <w:rsid w:val="00B83E53"/>
    <w:rsid w:val="00B83ED7"/>
    <w:rsid w:val="00B847B6"/>
    <w:rsid w:val="00B84C0A"/>
    <w:rsid w:val="00B8595D"/>
    <w:rsid w:val="00B86552"/>
    <w:rsid w:val="00B86B75"/>
    <w:rsid w:val="00B87CF7"/>
    <w:rsid w:val="00B902CB"/>
    <w:rsid w:val="00B90546"/>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5260"/>
    <w:rsid w:val="00C15958"/>
    <w:rsid w:val="00C16B0C"/>
    <w:rsid w:val="00C17644"/>
    <w:rsid w:val="00C17B28"/>
    <w:rsid w:val="00C21E6E"/>
    <w:rsid w:val="00C238A4"/>
    <w:rsid w:val="00C279CE"/>
    <w:rsid w:val="00C3089A"/>
    <w:rsid w:val="00C3108D"/>
    <w:rsid w:val="00C3293A"/>
    <w:rsid w:val="00C329F4"/>
    <w:rsid w:val="00C33A39"/>
    <w:rsid w:val="00C349AB"/>
    <w:rsid w:val="00C34CB9"/>
    <w:rsid w:val="00C358B9"/>
    <w:rsid w:val="00C361AC"/>
    <w:rsid w:val="00C36CC9"/>
    <w:rsid w:val="00C377DF"/>
    <w:rsid w:val="00C43FD1"/>
    <w:rsid w:val="00C520E3"/>
    <w:rsid w:val="00C52208"/>
    <w:rsid w:val="00C5262A"/>
    <w:rsid w:val="00C549D8"/>
    <w:rsid w:val="00C55305"/>
    <w:rsid w:val="00C55D44"/>
    <w:rsid w:val="00C5607C"/>
    <w:rsid w:val="00C57070"/>
    <w:rsid w:val="00C574A6"/>
    <w:rsid w:val="00C6166D"/>
    <w:rsid w:val="00C625F9"/>
    <w:rsid w:val="00C653C5"/>
    <w:rsid w:val="00C662DC"/>
    <w:rsid w:val="00C753E7"/>
    <w:rsid w:val="00C7774C"/>
    <w:rsid w:val="00C77BFF"/>
    <w:rsid w:val="00C80679"/>
    <w:rsid w:val="00C80F80"/>
    <w:rsid w:val="00C8129C"/>
    <w:rsid w:val="00C8663B"/>
    <w:rsid w:val="00C86D72"/>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2A68"/>
    <w:rsid w:val="00DC4338"/>
    <w:rsid w:val="00DD0D04"/>
    <w:rsid w:val="00DD1144"/>
    <w:rsid w:val="00DD14BD"/>
    <w:rsid w:val="00DD2DCF"/>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81F"/>
    <w:rsid w:val="00DF150C"/>
    <w:rsid w:val="00DF55C9"/>
    <w:rsid w:val="00E02827"/>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308A"/>
    <w:rsid w:val="00E23A53"/>
    <w:rsid w:val="00E256FB"/>
    <w:rsid w:val="00E32E47"/>
    <w:rsid w:val="00E34D43"/>
    <w:rsid w:val="00E34DE4"/>
    <w:rsid w:val="00E34FE4"/>
    <w:rsid w:val="00E372B7"/>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D0F92"/>
    <w:rsid w:val="00ED243F"/>
    <w:rsid w:val="00ED4E3F"/>
    <w:rsid w:val="00ED5622"/>
    <w:rsid w:val="00ED72A4"/>
    <w:rsid w:val="00EE080C"/>
    <w:rsid w:val="00EE256F"/>
    <w:rsid w:val="00EE3D18"/>
    <w:rsid w:val="00EE47BB"/>
    <w:rsid w:val="00EE7445"/>
    <w:rsid w:val="00EF1004"/>
    <w:rsid w:val="00EF1E35"/>
    <w:rsid w:val="00EF4E04"/>
    <w:rsid w:val="00EF52AA"/>
    <w:rsid w:val="00F021C3"/>
    <w:rsid w:val="00F04629"/>
    <w:rsid w:val="00F048EA"/>
    <w:rsid w:val="00F0543F"/>
    <w:rsid w:val="00F106C6"/>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575A5"/>
    <w:rsid w:val="00F60EB7"/>
    <w:rsid w:val="00F70269"/>
    <w:rsid w:val="00F7113A"/>
    <w:rsid w:val="00F71C58"/>
    <w:rsid w:val="00F71D44"/>
    <w:rsid w:val="00F71E67"/>
    <w:rsid w:val="00F72584"/>
    <w:rsid w:val="00F7527C"/>
    <w:rsid w:val="00F7633B"/>
    <w:rsid w:val="00F80C6C"/>
    <w:rsid w:val="00F82E76"/>
    <w:rsid w:val="00F82FFC"/>
    <w:rsid w:val="00F85184"/>
    <w:rsid w:val="00F930D4"/>
    <w:rsid w:val="00F940BF"/>
    <w:rsid w:val="00F94303"/>
    <w:rsid w:val="00F95D65"/>
    <w:rsid w:val="00F96029"/>
    <w:rsid w:val="00F97DB5"/>
    <w:rsid w:val="00FA142E"/>
    <w:rsid w:val="00FA1C18"/>
    <w:rsid w:val="00FA1FF1"/>
    <w:rsid w:val="00FA3259"/>
    <w:rsid w:val="00FA38A7"/>
    <w:rsid w:val="00FA406A"/>
    <w:rsid w:val="00FA7E66"/>
    <w:rsid w:val="00FB0C3B"/>
    <w:rsid w:val="00FB2D4D"/>
    <w:rsid w:val="00FC32EE"/>
    <w:rsid w:val="00FC4AEF"/>
    <w:rsid w:val="00FC6071"/>
    <w:rsid w:val="00FC68CD"/>
    <w:rsid w:val="00FC7850"/>
    <w:rsid w:val="00FC7F27"/>
    <w:rsid w:val="00FD12A4"/>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E285-5D1B-447C-B1DD-1687C7C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8148</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2014-06-30T11:46:00Z</cp:lastPrinted>
  <dcterms:created xsi:type="dcterms:W3CDTF">2015-03-10T09:15:00Z</dcterms:created>
  <dcterms:modified xsi:type="dcterms:W3CDTF">2015-03-10T09:15:00Z</dcterms:modified>
</cp:coreProperties>
</file>